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980" w:rsidRDefault="00475980" w:rsidP="00475980">
      <w:pPr>
        <w:jc w:val="center"/>
        <w:rPr>
          <w:sz w:val="32"/>
          <w:szCs w:val="32"/>
        </w:rPr>
      </w:pPr>
      <w:r>
        <w:rPr>
          <w:rFonts w:hint="eastAsia"/>
          <w:sz w:val="32"/>
          <w:szCs w:val="32"/>
        </w:rPr>
        <w:t>《口腔修复学（</w:t>
      </w:r>
      <w:r>
        <w:rPr>
          <w:rFonts w:hint="eastAsia"/>
          <w:sz w:val="32"/>
          <w:szCs w:val="32"/>
        </w:rPr>
        <w:t>1</w:t>
      </w:r>
      <w:r>
        <w:rPr>
          <w:rFonts w:hint="eastAsia"/>
          <w:sz w:val="32"/>
          <w:szCs w:val="32"/>
        </w:rPr>
        <w:t>）（</w:t>
      </w:r>
      <w:r>
        <w:rPr>
          <w:rFonts w:hint="eastAsia"/>
          <w:sz w:val="32"/>
          <w:szCs w:val="32"/>
        </w:rPr>
        <w:t>2</w:t>
      </w:r>
      <w:r>
        <w:rPr>
          <w:rFonts w:hint="eastAsia"/>
          <w:sz w:val="32"/>
          <w:szCs w:val="32"/>
        </w:rPr>
        <w:t>）》课程实验教学大纲</w:t>
      </w:r>
    </w:p>
    <w:p w:rsidR="00475980" w:rsidRDefault="00475980" w:rsidP="00475980">
      <w:r>
        <w:rPr>
          <w:rFonts w:hint="eastAsia"/>
        </w:rPr>
        <w:t xml:space="preserve"> </w:t>
      </w:r>
    </w:p>
    <w:p w:rsidR="00475980" w:rsidRDefault="00475980" w:rsidP="00475980">
      <w:r>
        <w:rPr>
          <w:rFonts w:hint="eastAsia"/>
        </w:rPr>
        <w:t>课程编号：</w:t>
      </w:r>
      <w:r>
        <w:rPr>
          <w:rFonts w:hint="eastAsia"/>
        </w:rPr>
        <w:t>142014</w:t>
      </w:r>
      <w:r>
        <w:rPr>
          <w:rFonts w:hint="eastAsia"/>
        </w:rPr>
        <w:t>、</w:t>
      </w:r>
      <w:r>
        <w:rPr>
          <w:rFonts w:hint="eastAsia"/>
        </w:rPr>
        <w:t xml:space="preserve">142046 </w:t>
      </w:r>
      <w:r>
        <w:rPr>
          <w:rFonts w:hint="eastAsia"/>
        </w:rPr>
        <w:t>学分：</w:t>
      </w:r>
      <w:r>
        <w:rPr>
          <w:rFonts w:hint="eastAsia"/>
        </w:rPr>
        <w:t xml:space="preserve">7.0     </w:t>
      </w:r>
      <w:r>
        <w:rPr>
          <w:rFonts w:hint="eastAsia"/>
        </w:rPr>
        <w:t>总学时：</w:t>
      </w:r>
      <w:r>
        <w:rPr>
          <w:rFonts w:hint="eastAsia"/>
        </w:rPr>
        <w:t>165</w:t>
      </w:r>
      <w:r>
        <w:rPr>
          <w:rFonts w:hint="eastAsia"/>
        </w:rPr>
        <w:t>学时</w:t>
      </w:r>
      <w:r>
        <w:rPr>
          <w:rFonts w:hint="eastAsia"/>
        </w:rPr>
        <w:t xml:space="preserve">    </w:t>
      </w:r>
      <w:r>
        <w:rPr>
          <w:rFonts w:hint="eastAsia"/>
        </w:rPr>
        <w:t>实验学时：</w:t>
      </w:r>
      <w:r>
        <w:rPr>
          <w:rFonts w:hint="eastAsia"/>
        </w:rPr>
        <w:t>104</w:t>
      </w:r>
    </w:p>
    <w:p w:rsidR="00475980" w:rsidRDefault="00475980" w:rsidP="00475980">
      <w:r>
        <w:rPr>
          <w:rFonts w:hint="eastAsia"/>
        </w:rPr>
        <w:t>大纲执笔人：丛磊</w:t>
      </w:r>
      <w:r>
        <w:rPr>
          <w:rFonts w:hint="eastAsia"/>
        </w:rPr>
        <w:t xml:space="preserve">    </w:t>
      </w:r>
      <w:r>
        <w:rPr>
          <w:rFonts w:hint="eastAsia"/>
        </w:rPr>
        <w:t>大纲审核人：陈建荣</w:t>
      </w:r>
      <w:r>
        <w:rPr>
          <w:rFonts w:hint="eastAsia"/>
        </w:rPr>
        <w:t xml:space="preserve"> </w:t>
      </w:r>
    </w:p>
    <w:p w:rsidR="00475980" w:rsidRDefault="00475980" w:rsidP="00475980">
      <w:pPr>
        <w:autoSpaceDE w:val="0"/>
        <w:autoSpaceDN w:val="0"/>
        <w:adjustRightInd w:val="0"/>
        <w:spacing w:beforeLines="100" w:before="312" w:line="360" w:lineRule="auto"/>
        <w:outlineLvl w:val="1"/>
        <w:rPr>
          <w:color w:val="000000"/>
          <w:kern w:val="0"/>
          <w:sz w:val="24"/>
          <w:szCs w:val="24"/>
        </w:rPr>
      </w:pPr>
      <w:r>
        <w:rPr>
          <w:rFonts w:hint="eastAsia"/>
          <w:color w:val="000000"/>
          <w:kern w:val="0"/>
          <w:sz w:val="24"/>
          <w:szCs w:val="24"/>
        </w:rPr>
        <w:t>一、课程性质与目的</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口腔修复学是研究用符合生理的方法，采用人工装置修复口腔及颌面部各种缺损的并恢复其相应的生理功能，预防或治疗口颌系统疾病的一门临床科学。口腔修复学的任务是研究口腔及颌面部各种缺损及相关口颌系统疾病的病因、机制、症状、诊断、预防和治疗方法，利用人工材料制作各种修复体，以恢复各类缺损，预防和治疗口颌系统疾病，从而恢复其正常形态和功能，促进患者的身心健康。</w:t>
      </w:r>
    </w:p>
    <w:p w:rsidR="00475980" w:rsidRDefault="00475980" w:rsidP="00475980">
      <w:pPr>
        <w:autoSpaceDE w:val="0"/>
        <w:autoSpaceDN w:val="0"/>
        <w:adjustRightInd w:val="0"/>
        <w:spacing w:beforeLines="100" w:before="312" w:line="360" w:lineRule="auto"/>
        <w:outlineLvl w:val="1"/>
        <w:rPr>
          <w:color w:val="000000"/>
          <w:kern w:val="0"/>
          <w:sz w:val="24"/>
          <w:szCs w:val="24"/>
        </w:rPr>
      </w:pPr>
      <w:r>
        <w:rPr>
          <w:rFonts w:hint="eastAsia"/>
          <w:color w:val="000000"/>
          <w:kern w:val="0"/>
          <w:sz w:val="24"/>
          <w:szCs w:val="24"/>
        </w:rPr>
        <w:t>二、面向专业</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口腔医学。</w:t>
      </w:r>
    </w:p>
    <w:p w:rsidR="00475980" w:rsidRDefault="00475980" w:rsidP="00475980">
      <w:pPr>
        <w:autoSpaceDE w:val="0"/>
        <w:autoSpaceDN w:val="0"/>
        <w:adjustRightInd w:val="0"/>
        <w:spacing w:beforeLines="100" w:before="312" w:line="360" w:lineRule="auto"/>
        <w:outlineLvl w:val="1"/>
        <w:rPr>
          <w:color w:val="000000"/>
          <w:kern w:val="0"/>
          <w:sz w:val="24"/>
          <w:szCs w:val="24"/>
        </w:rPr>
      </w:pPr>
      <w:r>
        <w:rPr>
          <w:rFonts w:hint="eastAsia"/>
          <w:color w:val="000000"/>
          <w:kern w:val="0"/>
          <w:sz w:val="24"/>
          <w:szCs w:val="24"/>
        </w:rPr>
        <w:t>三、课程基本要求</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口腔修复学是一门知识涉及面广、实践性很强的学科，通过教学掌握口腔修复临床常见病和多发病诊治的理论知识和操作技能，采用理论联系实际、循序渐进、由浅入深的方法，注意培养学生分析问题和解决问题的能力，引导学生创新性思维的发挥。学生通过学习掌握口腔修复理论知识，掌握口腔修复的基本操作技能，为后期的临床学习打下良好的基础，最终达到培养目标。</w:t>
      </w:r>
    </w:p>
    <w:p w:rsidR="00475980" w:rsidRDefault="00475980" w:rsidP="00475980">
      <w:pPr>
        <w:widowControl/>
        <w:spacing w:beforeLines="100" w:before="312" w:line="360" w:lineRule="auto"/>
        <w:outlineLvl w:val="1"/>
        <w:rPr>
          <w:color w:val="000000"/>
          <w:kern w:val="0"/>
          <w:sz w:val="24"/>
          <w:szCs w:val="24"/>
        </w:rPr>
      </w:pPr>
      <w:r>
        <w:rPr>
          <w:rFonts w:hint="eastAsia"/>
          <w:color w:val="000000"/>
          <w:kern w:val="0"/>
          <w:sz w:val="24"/>
          <w:szCs w:val="24"/>
        </w:rPr>
        <w:t>四、实验基本要求</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掌握口腔修复的基本操作技能。</w:t>
      </w:r>
    </w:p>
    <w:p w:rsidR="00475980" w:rsidRDefault="00475980" w:rsidP="00475980">
      <w:pPr>
        <w:autoSpaceDE w:val="0"/>
        <w:autoSpaceDN w:val="0"/>
        <w:adjustRightInd w:val="0"/>
        <w:spacing w:line="360" w:lineRule="auto"/>
        <w:rPr>
          <w:color w:val="000000"/>
          <w:kern w:val="0"/>
          <w:sz w:val="24"/>
          <w:szCs w:val="24"/>
        </w:rPr>
      </w:pPr>
      <w:r>
        <w:rPr>
          <w:rFonts w:hint="eastAsia"/>
          <w:color w:val="000000"/>
          <w:kern w:val="0"/>
          <w:sz w:val="24"/>
          <w:szCs w:val="24"/>
        </w:rPr>
        <w:t>五、实验或上机内容</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eastAsia="仿宋_GB2312" w:hAnsi="宋体" w:hint="eastAsia"/>
          <w:color w:val="000000"/>
          <w:kern w:val="0"/>
          <w:sz w:val="24"/>
          <w:szCs w:val="24"/>
        </w:rPr>
        <w:t xml:space="preserve">  </w:t>
      </w:r>
      <w:r>
        <w:rPr>
          <w:rFonts w:ascii="宋体" w:hAnsi="宋体" w:hint="eastAsia"/>
          <w:color w:val="000000"/>
          <w:kern w:val="0"/>
        </w:rPr>
        <w:t>1、实验准备。</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 xml:space="preserve">  2、嵌体或部分冠牙备。</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 xml:space="preserve">  3、复杂桩冠。</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 xml:space="preserve">  4、烤瓷全冠牙备。</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 xml:space="preserve">  5、烤瓷全冠制作。</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 xml:space="preserve">  6、后牙铸造固定桥的制作。</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 xml:space="preserve">  7、可摘局部义齿的制作。</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lastRenderedPageBreak/>
        <w:t xml:space="preserve">  8、全口义齿的制作。</w:t>
      </w:r>
    </w:p>
    <w:p w:rsidR="00475980" w:rsidRDefault="00475980" w:rsidP="00475980">
      <w:pPr>
        <w:spacing w:beforeLines="100" w:before="312" w:line="360" w:lineRule="auto"/>
        <w:outlineLvl w:val="1"/>
        <w:rPr>
          <w:sz w:val="24"/>
          <w:szCs w:val="24"/>
        </w:rPr>
      </w:pPr>
      <w:r>
        <w:rPr>
          <w:rFonts w:hint="eastAsia"/>
          <w:sz w:val="24"/>
          <w:szCs w:val="24"/>
        </w:rPr>
        <w:t>六、实验内容和主要仪器设备与器材配置</w:t>
      </w:r>
    </w:p>
    <w:tbl>
      <w:tblPr>
        <w:tblW w:w="9931" w:type="dxa"/>
        <w:jc w:val="center"/>
        <w:tblLayout w:type="fixed"/>
        <w:tblLook w:val="04A0" w:firstRow="1" w:lastRow="0" w:firstColumn="1" w:lastColumn="0" w:noHBand="0" w:noVBand="1"/>
      </w:tblPr>
      <w:tblGrid>
        <w:gridCol w:w="476"/>
        <w:gridCol w:w="1400"/>
        <w:gridCol w:w="1683"/>
        <w:gridCol w:w="392"/>
        <w:gridCol w:w="392"/>
        <w:gridCol w:w="392"/>
        <w:gridCol w:w="548"/>
        <w:gridCol w:w="492"/>
        <w:gridCol w:w="1620"/>
        <w:gridCol w:w="504"/>
        <w:gridCol w:w="900"/>
        <w:gridCol w:w="1132"/>
      </w:tblGrid>
      <w:tr w:rsidR="00475980" w:rsidTr="001C79F3">
        <w:trPr>
          <w:cantSplit/>
          <w:trHeight w:val="375"/>
          <w:jc w:val="center"/>
        </w:trPr>
        <w:tc>
          <w:tcPr>
            <w:tcW w:w="476"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仿宋_GB2312" w:hAnsi="仿宋_GB2312"/>
                <w:b/>
                <w:bCs/>
              </w:rPr>
            </w:pPr>
            <w:r>
              <w:rPr>
                <w:rFonts w:ascii="仿宋_GB2312" w:hAnsi="宋体"/>
                <w:b/>
                <w:bCs/>
              </w:rPr>
              <w:t>序号</w:t>
            </w:r>
          </w:p>
        </w:tc>
        <w:tc>
          <w:tcPr>
            <w:tcW w:w="140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仿宋_GB2312" w:hAnsi="仿宋_GB2312"/>
                <w:b/>
                <w:bCs/>
              </w:rPr>
            </w:pPr>
            <w:r>
              <w:rPr>
                <w:rFonts w:ascii="仿宋_GB2312" w:hAnsi="宋体"/>
                <w:b/>
                <w:bCs/>
              </w:rPr>
              <w:t>实验项目</w:t>
            </w:r>
          </w:p>
        </w:tc>
        <w:tc>
          <w:tcPr>
            <w:tcW w:w="1683"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仿宋_GB2312" w:hAnsi="仿宋_GB2312"/>
                <w:b/>
                <w:bCs/>
              </w:rPr>
            </w:pPr>
            <w:r>
              <w:rPr>
                <w:rFonts w:ascii="仿宋_GB2312" w:hAnsi="宋体"/>
                <w:b/>
                <w:bCs/>
              </w:rPr>
              <w:t>内容提要</w:t>
            </w:r>
          </w:p>
        </w:tc>
        <w:tc>
          <w:tcPr>
            <w:tcW w:w="1176"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仿宋_GB2312" w:hAnsi="仿宋_GB2312"/>
                <w:b/>
                <w:bCs/>
              </w:rPr>
            </w:pPr>
            <w:r>
              <w:rPr>
                <w:rFonts w:ascii="仿宋_GB2312" w:hAnsi="宋体"/>
                <w:b/>
                <w:bCs/>
              </w:rPr>
              <w:t>实验类别</w:t>
            </w:r>
          </w:p>
        </w:tc>
        <w:tc>
          <w:tcPr>
            <w:tcW w:w="548"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仿宋_GB2312" w:hAnsi="仿宋_GB2312"/>
                <w:b/>
                <w:bCs/>
              </w:rPr>
            </w:pPr>
            <w:r>
              <w:rPr>
                <w:rFonts w:ascii="仿宋_GB2312" w:hAnsi="宋体"/>
                <w:b/>
                <w:bCs/>
              </w:rPr>
              <w:t>每组</w:t>
            </w:r>
          </w:p>
          <w:p w:rsidR="00475980" w:rsidRDefault="00475980" w:rsidP="001C79F3">
            <w:pPr>
              <w:adjustRightInd w:val="0"/>
              <w:snapToGrid w:val="0"/>
              <w:spacing w:line="0" w:lineRule="atLeast"/>
              <w:jc w:val="center"/>
              <w:rPr>
                <w:rFonts w:ascii="仿宋_GB2312" w:hAnsi="仿宋_GB2312"/>
                <w:b/>
                <w:bCs/>
              </w:rPr>
            </w:pPr>
            <w:r>
              <w:rPr>
                <w:rFonts w:ascii="仿宋_GB2312" w:hAnsi="宋体"/>
                <w:b/>
                <w:bCs/>
              </w:rPr>
              <w:t>人数</w:t>
            </w:r>
          </w:p>
        </w:tc>
        <w:tc>
          <w:tcPr>
            <w:tcW w:w="492"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仿宋_GB2312" w:hAnsi="仿宋_GB2312"/>
                <w:b/>
                <w:bCs/>
              </w:rPr>
            </w:pPr>
            <w:r>
              <w:rPr>
                <w:rFonts w:ascii="仿宋_GB2312" w:hAnsi="宋体"/>
                <w:b/>
                <w:bCs/>
              </w:rPr>
              <w:t>实验学时</w:t>
            </w:r>
          </w:p>
        </w:tc>
        <w:tc>
          <w:tcPr>
            <w:tcW w:w="162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仿宋_GB2312" w:hAnsi="仿宋_GB2312"/>
                <w:b/>
                <w:bCs/>
              </w:rPr>
            </w:pPr>
            <w:r>
              <w:rPr>
                <w:rFonts w:ascii="仿宋_GB2312" w:hAnsi="宋体"/>
                <w:b/>
                <w:bCs/>
              </w:rPr>
              <w:t>主要仪器设备</w:t>
            </w:r>
          </w:p>
        </w:tc>
        <w:tc>
          <w:tcPr>
            <w:tcW w:w="504"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仿宋_GB2312" w:hAnsi="仿宋_GB2312"/>
                <w:b/>
                <w:bCs/>
              </w:rPr>
            </w:pPr>
            <w:r>
              <w:rPr>
                <w:rFonts w:ascii="仿宋_GB2312" w:hAnsi="宋体"/>
                <w:b/>
                <w:bCs/>
              </w:rPr>
              <w:t>设备复套数</w:t>
            </w:r>
          </w:p>
        </w:tc>
        <w:tc>
          <w:tcPr>
            <w:tcW w:w="900"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仿宋_GB2312" w:hAnsi="仿宋_GB2312"/>
                <w:b/>
                <w:bCs/>
              </w:rPr>
            </w:pPr>
            <w:r>
              <w:rPr>
                <w:rFonts w:ascii="仿宋_GB2312" w:hAnsi="宋体"/>
                <w:b/>
                <w:bCs/>
              </w:rPr>
              <w:t>主要消耗材料</w:t>
            </w:r>
          </w:p>
        </w:tc>
        <w:tc>
          <w:tcPr>
            <w:tcW w:w="1132" w:type="dxa"/>
            <w:vMerge w:val="restar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仿宋_GB2312" w:hAnsi="仿宋_GB2312"/>
                <w:b/>
                <w:bCs/>
              </w:rPr>
            </w:pPr>
            <w:r>
              <w:rPr>
                <w:rFonts w:ascii="仿宋_GB2312" w:hAnsi="宋体"/>
                <w:b/>
                <w:bCs/>
              </w:rPr>
              <w:t>所在实验室</w:t>
            </w:r>
          </w:p>
        </w:tc>
      </w:tr>
      <w:tr w:rsidR="00475980" w:rsidTr="001C79F3">
        <w:trPr>
          <w:cantSplit/>
          <w:trHeight w:val="515"/>
          <w:jc w:val="center"/>
        </w:trPr>
        <w:tc>
          <w:tcPr>
            <w:tcW w:w="476" w:type="dxa"/>
            <w:vMerge/>
            <w:tcBorders>
              <w:top w:val="single" w:sz="4" w:space="0" w:color="auto"/>
              <w:left w:val="single" w:sz="4" w:space="0" w:color="auto"/>
              <w:bottom w:val="single" w:sz="4" w:space="0" w:color="auto"/>
              <w:right w:val="single" w:sz="4" w:space="0" w:color="auto"/>
            </w:tcBorders>
            <w:vAlign w:val="center"/>
          </w:tcPr>
          <w:p w:rsidR="00475980" w:rsidRDefault="00475980" w:rsidP="001C79F3">
            <w:pPr>
              <w:widowControl/>
              <w:jc w:val="left"/>
              <w:rPr>
                <w:rFonts w:ascii="仿宋_GB2312" w:hAnsi="仿宋_GB2312"/>
                <w:b/>
                <w:bCs/>
              </w:rPr>
            </w:pPr>
          </w:p>
        </w:tc>
        <w:tc>
          <w:tcPr>
            <w:tcW w:w="1400" w:type="dxa"/>
            <w:vMerge/>
            <w:tcBorders>
              <w:top w:val="single" w:sz="4" w:space="0" w:color="auto"/>
              <w:left w:val="nil"/>
              <w:bottom w:val="single" w:sz="4" w:space="0" w:color="auto"/>
              <w:right w:val="single" w:sz="4" w:space="0" w:color="auto"/>
            </w:tcBorders>
            <w:vAlign w:val="center"/>
          </w:tcPr>
          <w:p w:rsidR="00475980" w:rsidRDefault="00475980" w:rsidP="001C79F3">
            <w:pPr>
              <w:widowControl/>
              <w:jc w:val="left"/>
              <w:rPr>
                <w:rFonts w:ascii="仿宋_GB2312" w:hAnsi="仿宋_GB2312"/>
                <w:b/>
                <w:bCs/>
              </w:rPr>
            </w:pPr>
          </w:p>
        </w:tc>
        <w:tc>
          <w:tcPr>
            <w:tcW w:w="1683" w:type="dxa"/>
            <w:vMerge/>
            <w:tcBorders>
              <w:top w:val="single" w:sz="4" w:space="0" w:color="auto"/>
              <w:left w:val="nil"/>
              <w:bottom w:val="single" w:sz="4" w:space="0" w:color="auto"/>
              <w:right w:val="single" w:sz="4" w:space="0" w:color="auto"/>
            </w:tcBorders>
            <w:vAlign w:val="center"/>
          </w:tcPr>
          <w:p w:rsidR="00475980" w:rsidRDefault="00475980" w:rsidP="001C79F3">
            <w:pPr>
              <w:widowControl/>
              <w:jc w:val="left"/>
              <w:rPr>
                <w:rFonts w:ascii="仿宋_GB2312" w:hAnsi="仿宋_GB2312"/>
                <w:b/>
                <w:bCs/>
              </w:rPr>
            </w:pPr>
          </w:p>
        </w:tc>
        <w:tc>
          <w:tcPr>
            <w:tcW w:w="39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宋体" w:hAnsi="宋体"/>
                <w:b/>
                <w:bCs/>
              </w:rPr>
            </w:pPr>
            <w:r>
              <w:rPr>
                <w:rFonts w:ascii="宋体" w:hAnsi="宋体"/>
                <w:b/>
                <w:bCs/>
              </w:rPr>
              <w:t>验证</w:t>
            </w:r>
          </w:p>
        </w:tc>
        <w:tc>
          <w:tcPr>
            <w:tcW w:w="39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宋体" w:hAnsi="宋体"/>
                <w:b/>
                <w:bCs/>
              </w:rPr>
            </w:pPr>
            <w:r>
              <w:rPr>
                <w:rFonts w:ascii="宋体" w:hAnsi="宋体"/>
                <w:b/>
                <w:bCs/>
              </w:rPr>
              <w:t>综合</w:t>
            </w:r>
          </w:p>
        </w:tc>
        <w:tc>
          <w:tcPr>
            <w:tcW w:w="39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djustRightInd w:val="0"/>
              <w:snapToGrid w:val="0"/>
              <w:spacing w:line="0" w:lineRule="atLeast"/>
              <w:jc w:val="center"/>
              <w:rPr>
                <w:rFonts w:ascii="宋体" w:hAnsi="宋体"/>
                <w:b/>
                <w:bCs/>
              </w:rPr>
            </w:pPr>
            <w:r>
              <w:rPr>
                <w:rFonts w:ascii="宋体" w:hAnsi="宋体"/>
                <w:b/>
                <w:bCs/>
              </w:rPr>
              <w:t>设计</w:t>
            </w:r>
          </w:p>
        </w:tc>
        <w:tc>
          <w:tcPr>
            <w:tcW w:w="548" w:type="dxa"/>
            <w:vMerge/>
            <w:tcBorders>
              <w:top w:val="single" w:sz="4" w:space="0" w:color="auto"/>
              <w:left w:val="nil"/>
              <w:bottom w:val="single" w:sz="4" w:space="0" w:color="auto"/>
              <w:right w:val="single" w:sz="4" w:space="0" w:color="auto"/>
            </w:tcBorders>
            <w:vAlign w:val="center"/>
          </w:tcPr>
          <w:p w:rsidR="00475980" w:rsidRDefault="00475980" w:rsidP="001C79F3">
            <w:pPr>
              <w:widowControl/>
              <w:jc w:val="left"/>
              <w:rPr>
                <w:rFonts w:ascii="仿宋_GB2312" w:hAnsi="仿宋_GB2312"/>
                <w:b/>
                <w:bCs/>
              </w:rPr>
            </w:pPr>
          </w:p>
        </w:tc>
        <w:tc>
          <w:tcPr>
            <w:tcW w:w="492" w:type="dxa"/>
            <w:vMerge/>
            <w:tcBorders>
              <w:top w:val="single" w:sz="4" w:space="0" w:color="auto"/>
              <w:left w:val="nil"/>
              <w:bottom w:val="single" w:sz="4" w:space="0" w:color="auto"/>
              <w:right w:val="single" w:sz="4" w:space="0" w:color="auto"/>
            </w:tcBorders>
            <w:vAlign w:val="center"/>
          </w:tcPr>
          <w:p w:rsidR="00475980" w:rsidRDefault="00475980" w:rsidP="001C79F3">
            <w:pPr>
              <w:widowControl/>
              <w:jc w:val="left"/>
              <w:rPr>
                <w:rFonts w:ascii="仿宋_GB2312" w:hAnsi="仿宋_GB2312"/>
                <w:b/>
                <w:bCs/>
              </w:rPr>
            </w:pPr>
          </w:p>
        </w:tc>
        <w:tc>
          <w:tcPr>
            <w:tcW w:w="1620" w:type="dxa"/>
            <w:vMerge/>
            <w:tcBorders>
              <w:top w:val="single" w:sz="4" w:space="0" w:color="auto"/>
              <w:left w:val="nil"/>
              <w:bottom w:val="single" w:sz="4" w:space="0" w:color="auto"/>
              <w:right w:val="single" w:sz="4" w:space="0" w:color="auto"/>
            </w:tcBorders>
            <w:vAlign w:val="center"/>
          </w:tcPr>
          <w:p w:rsidR="00475980" w:rsidRDefault="00475980" w:rsidP="001C79F3">
            <w:pPr>
              <w:widowControl/>
              <w:jc w:val="left"/>
              <w:rPr>
                <w:rFonts w:ascii="仿宋_GB2312" w:hAnsi="仿宋_GB2312"/>
                <w:b/>
                <w:bCs/>
              </w:rPr>
            </w:pPr>
          </w:p>
        </w:tc>
        <w:tc>
          <w:tcPr>
            <w:tcW w:w="504" w:type="dxa"/>
            <w:vMerge/>
            <w:tcBorders>
              <w:top w:val="single" w:sz="4" w:space="0" w:color="auto"/>
              <w:left w:val="nil"/>
              <w:bottom w:val="single" w:sz="4" w:space="0" w:color="auto"/>
              <w:right w:val="single" w:sz="4" w:space="0" w:color="auto"/>
            </w:tcBorders>
            <w:vAlign w:val="center"/>
          </w:tcPr>
          <w:p w:rsidR="00475980" w:rsidRDefault="00475980" w:rsidP="001C79F3">
            <w:pPr>
              <w:widowControl/>
              <w:jc w:val="left"/>
              <w:rPr>
                <w:rFonts w:ascii="仿宋_GB2312" w:hAnsi="仿宋_GB2312"/>
                <w:b/>
                <w:bCs/>
              </w:rPr>
            </w:pPr>
          </w:p>
        </w:tc>
        <w:tc>
          <w:tcPr>
            <w:tcW w:w="900" w:type="dxa"/>
            <w:vMerge/>
            <w:tcBorders>
              <w:top w:val="single" w:sz="4" w:space="0" w:color="auto"/>
              <w:left w:val="nil"/>
              <w:bottom w:val="single" w:sz="4" w:space="0" w:color="auto"/>
              <w:right w:val="single" w:sz="4" w:space="0" w:color="auto"/>
            </w:tcBorders>
            <w:vAlign w:val="center"/>
          </w:tcPr>
          <w:p w:rsidR="00475980" w:rsidRDefault="00475980" w:rsidP="001C79F3">
            <w:pPr>
              <w:widowControl/>
              <w:jc w:val="left"/>
              <w:rPr>
                <w:rFonts w:ascii="仿宋_GB2312" w:hAnsi="仿宋_GB2312"/>
                <w:b/>
                <w:bCs/>
              </w:rPr>
            </w:pPr>
          </w:p>
        </w:tc>
        <w:tc>
          <w:tcPr>
            <w:tcW w:w="1132" w:type="dxa"/>
            <w:vMerge/>
            <w:tcBorders>
              <w:top w:val="single" w:sz="4" w:space="0" w:color="auto"/>
              <w:left w:val="nil"/>
              <w:bottom w:val="single" w:sz="4" w:space="0" w:color="auto"/>
              <w:right w:val="single" w:sz="4" w:space="0" w:color="auto"/>
            </w:tcBorders>
            <w:vAlign w:val="center"/>
          </w:tcPr>
          <w:p w:rsidR="00475980" w:rsidRDefault="00475980" w:rsidP="001C79F3">
            <w:pPr>
              <w:widowControl/>
              <w:jc w:val="left"/>
              <w:rPr>
                <w:rFonts w:ascii="仿宋_GB2312" w:hAnsi="仿宋_GB2312"/>
                <w:b/>
                <w:bCs/>
              </w:rPr>
            </w:pPr>
          </w:p>
        </w:tc>
      </w:tr>
      <w:tr w:rsidR="00475980" w:rsidTr="001C79F3">
        <w:trPr>
          <w:cantSplit/>
          <w:trHeight w:val="591"/>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1</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实验准备</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口腔检查</w:t>
            </w:r>
            <w:r>
              <w:rPr>
                <w:rFonts w:ascii="仿宋_GB2312" w:hAnsi="仿宋_GB2312"/>
                <w:color w:val="000000"/>
                <w:kern w:val="0"/>
              </w:rPr>
              <w:t>,</w:t>
            </w:r>
            <w:r>
              <w:rPr>
                <w:rFonts w:ascii="仿宋_GB2312" w:hAnsi="仿宋_GB2312"/>
                <w:color w:val="000000"/>
                <w:kern w:val="0"/>
              </w:rPr>
              <w:t>熟悉实验室设备</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kern w:val="0"/>
              </w:rPr>
            </w:pPr>
            <w:r>
              <w:rPr>
                <w:rFonts w:ascii="仿宋_GB2312" w:hAnsi="仿宋_GB2312"/>
                <w:kern w:val="0"/>
              </w:rPr>
              <w:t>2</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一次性口腔器械</w:t>
            </w:r>
            <w:proofErr w:type="gramStart"/>
            <w:r>
              <w:rPr>
                <w:rFonts w:ascii="仿宋_GB2312" w:hAnsi="仿宋_GB2312"/>
                <w:color w:val="000000"/>
                <w:kern w:val="0"/>
              </w:rPr>
              <w:t>盒仿头模</w:t>
            </w:r>
            <w:proofErr w:type="gramEnd"/>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口腔仿真</w:t>
            </w:r>
            <w:r>
              <w:rPr>
                <w:rFonts w:ascii="仿宋_GB2312" w:hAnsi="宋体"/>
              </w:rPr>
              <w:t>实验室</w:t>
            </w:r>
          </w:p>
        </w:tc>
      </w:tr>
      <w:tr w:rsidR="00475980" w:rsidTr="001C79F3">
        <w:trPr>
          <w:cantSplit/>
          <w:trHeight w:val="59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2</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烤瓷</w:t>
            </w:r>
            <w:proofErr w:type="gramStart"/>
            <w:r>
              <w:rPr>
                <w:rFonts w:ascii="仿宋_GB2312" w:hAnsi="宋体"/>
                <w:color w:val="000000"/>
                <w:kern w:val="0"/>
              </w:rPr>
              <w:t>全冠牙备</w:t>
            </w:r>
            <w:proofErr w:type="gramEnd"/>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PFM</w:t>
            </w:r>
            <w:r>
              <w:rPr>
                <w:rFonts w:ascii="仿宋_GB2312" w:hAnsi="仿宋_GB2312"/>
                <w:color w:val="000000"/>
                <w:kern w:val="0"/>
              </w:rPr>
              <w:t>全冠牙体制备</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一次性口腔器械</w:t>
            </w:r>
            <w:proofErr w:type="gramStart"/>
            <w:r>
              <w:rPr>
                <w:rFonts w:ascii="仿宋_GB2312" w:hAnsi="仿宋_GB2312"/>
                <w:color w:val="000000"/>
                <w:kern w:val="0"/>
              </w:rPr>
              <w:t>盒仿头模</w:t>
            </w:r>
            <w:proofErr w:type="gramEnd"/>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口腔仿真</w:t>
            </w:r>
            <w:r>
              <w:rPr>
                <w:rFonts w:ascii="仿宋_GB2312" w:hAnsi="宋体"/>
              </w:rPr>
              <w:t>实验室</w:t>
            </w:r>
          </w:p>
        </w:tc>
      </w:tr>
      <w:tr w:rsidR="00475980" w:rsidTr="001C79F3">
        <w:trPr>
          <w:cantSplit/>
          <w:trHeight w:val="59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3</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嵌体或</w:t>
            </w:r>
            <w:proofErr w:type="gramStart"/>
            <w:r>
              <w:rPr>
                <w:rFonts w:ascii="仿宋_GB2312" w:hAnsi="宋体"/>
                <w:color w:val="000000"/>
                <w:kern w:val="0"/>
              </w:rPr>
              <w:t>部分冠牙备</w:t>
            </w:r>
            <w:proofErr w:type="gramEnd"/>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嵌体和</w:t>
            </w:r>
            <w:proofErr w:type="gramStart"/>
            <w:r>
              <w:rPr>
                <w:rFonts w:ascii="仿宋_GB2312" w:hAnsi="仿宋_GB2312"/>
                <w:color w:val="000000"/>
                <w:kern w:val="0"/>
              </w:rPr>
              <w:t>部分冠牙备</w:t>
            </w:r>
            <w:proofErr w:type="gramEnd"/>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一次性口腔器械</w:t>
            </w:r>
            <w:proofErr w:type="gramStart"/>
            <w:r>
              <w:rPr>
                <w:rFonts w:ascii="仿宋_GB2312" w:hAnsi="仿宋_GB2312"/>
                <w:color w:val="000000"/>
                <w:kern w:val="0"/>
              </w:rPr>
              <w:t>盒仿头模</w:t>
            </w:r>
            <w:proofErr w:type="gramEnd"/>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口腔仿真</w:t>
            </w:r>
            <w:r>
              <w:rPr>
                <w:rFonts w:ascii="仿宋_GB2312" w:hAnsi="宋体"/>
              </w:rPr>
              <w:t>实验室</w:t>
            </w:r>
          </w:p>
        </w:tc>
      </w:tr>
      <w:tr w:rsidR="00475980" w:rsidTr="001C79F3">
        <w:trPr>
          <w:cantSplit/>
          <w:trHeight w:val="59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4</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复杂桩冠</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复杂</w:t>
            </w:r>
            <w:proofErr w:type="gramStart"/>
            <w:r>
              <w:rPr>
                <w:rFonts w:ascii="仿宋_GB2312" w:hAnsi="仿宋_GB2312"/>
                <w:color w:val="000000"/>
                <w:kern w:val="0"/>
              </w:rPr>
              <w:t>桩冠牙备与</w:t>
            </w:r>
            <w:proofErr w:type="gramEnd"/>
            <w:r>
              <w:rPr>
                <w:rFonts w:ascii="仿宋_GB2312" w:hAnsi="仿宋_GB2312"/>
                <w:color w:val="000000"/>
                <w:kern w:val="0"/>
              </w:rPr>
              <w:t>蜡型制作</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一次性口腔器械</w:t>
            </w:r>
            <w:proofErr w:type="gramStart"/>
            <w:r>
              <w:rPr>
                <w:rFonts w:ascii="仿宋_GB2312" w:hAnsi="仿宋_GB2312"/>
                <w:color w:val="000000"/>
                <w:kern w:val="0"/>
              </w:rPr>
              <w:t>盒仿头模</w:t>
            </w:r>
            <w:proofErr w:type="gramEnd"/>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口腔仿真</w:t>
            </w:r>
            <w:r>
              <w:rPr>
                <w:rFonts w:ascii="仿宋_GB2312" w:hAnsi="宋体"/>
              </w:rPr>
              <w:t>实验室</w:t>
            </w:r>
          </w:p>
        </w:tc>
      </w:tr>
      <w:tr w:rsidR="00475980" w:rsidTr="001C79F3">
        <w:trPr>
          <w:cantSplit/>
          <w:trHeight w:val="59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5</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后牙铸造固定桥的制作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铸造桥</w:t>
            </w:r>
            <w:proofErr w:type="gramStart"/>
            <w:r>
              <w:rPr>
                <w:rFonts w:ascii="仿宋_GB2312" w:hAnsi="仿宋_GB2312"/>
                <w:color w:val="000000"/>
                <w:kern w:val="0"/>
              </w:rPr>
              <w:t>牙备与取摸</w:t>
            </w:r>
            <w:proofErr w:type="gramEnd"/>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口腔仿真</w:t>
            </w:r>
            <w:r>
              <w:rPr>
                <w:rFonts w:ascii="仿宋_GB2312" w:hAnsi="宋体"/>
              </w:rPr>
              <w:t>实验室</w:t>
            </w:r>
          </w:p>
        </w:tc>
      </w:tr>
      <w:tr w:rsidR="00475980" w:rsidTr="001C79F3">
        <w:trPr>
          <w:cantSplit/>
          <w:trHeight w:val="591"/>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6</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后牙铸造固定桥的制作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代型制作</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一次性口腔器械</w:t>
            </w:r>
            <w:proofErr w:type="gramStart"/>
            <w:r>
              <w:rPr>
                <w:rFonts w:ascii="仿宋_GB2312" w:hAnsi="仿宋_GB2312"/>
                <w:color w:val="000000"/>
                <w:kern w:val="0"/>
              </w:rPr>
              <w:t>盒仿头模</w:t>
            </w:r>
            <w:proofErr w:type="gramEnd"/>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口腔理工实验室</w:t>
            </w:r>
          </w:p>
        </w:tc>
      </w:tr>
      <w:tr w:rsidR="00475980" w:rsidTr="001C79F3">
        <w:trPr>
          <w:cantSplit/>
          <w:trHeight w:val="59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7</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后牙铸造固定桥的制作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蜡</w:t>
            </w:r>
            <w:proofErr w:type="gramStart"/>
            <w:r>
              <w:rPr>
                <w:rFonts w:ascii="仿宋_GB2312" w:hAnsi="仿宋_GB2312"/>
                <w:color w:val="000000"/>
                <w:kern w:val="0"/>
              </w:rPr>
              <w:t>型形成</w:t>
            </w:r>
            <w:proofErr w:type="gramEnd"/>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kern w:val="0"/>
              </w:rPr>
            </w:pPr>
            <w:r>
              <w:rPr>
                <w:rFonts w:ascii="仿宋_GB2312" w:hAnsi="仿宋_GB2312"/>
                <w:kern w:val="0"/>
              </w:rPr>
              <w:t>7</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9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8</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后牙铸造固定桥的制作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包埋去蜡</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9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9</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后牙铸造固定桥的制作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铸造</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9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10</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宋体"/>
                <w:color w:val="000000"/>
                <w:kern w:val="0"/>
              </w:rPr>
            </w:pPr>
            <w:r>
              <w:rPr>
                <w:rFonts w:ascii="仿宋_GB2312" w:hAnsi="宋体"/>
                <w:color w:val="000000"/>
                <w:kern w:val="0"/>
              </w:rPr>
              <w:t>后牙铸造固定桥的制作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磨光、初戴</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9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11</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可摘局部义齿的制作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PRD</w:t>
            </w:r>
            <w:r>
              <w:rPr>
                <w:rFonts w:ascii="仿宋_GB2312" w:hAnsi="仿宋_GB2312"/>
                <w:color w:val="000000"/>
                <w:kern w:val="0"/>
              </w:rPr>
              <w:t>设计、牙备、取模</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口腔仿真</w:t>
            </w:r>
            <w:r>
              <w:rPr>
                <w:rFonts w:ascii="仿宋_GB2312" w:hAnsi="宋体"/>
              </w:rPr>
              <w:t>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12</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可摘局部义齿的制作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卡环弯制（一）</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13</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可摘局部义齿的制作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卡环弯制（二）</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14</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可摘局部义齿的制作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铸造蜡型形成、包埋</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15</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可摘局部义齿的制作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去蜡、铸造、打磨、就位</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16</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可摘局部义齿的制作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排牙、蜡型形成、装盒</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17</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可摘局部义齿的制作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充胶、热处理</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18</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宋体"/>
                <w:color w:val="000000"/>
                <w:kern w:val="0"/>
              </w:rPr>
              <w:t>可摘局部义齿的制作</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开盒、打磨、抛光</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19</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kern w:val="0"/>
              </w:rPr>
            </w:pPr>
            <w:r>
              <w:rPr>
                <w:rFonts w:ascii="仿宋_GB2312" w:hAnsi="宋体"/>
                <w:kern w:val="0"/>
              </w:rPr>
              <w:t>全口义齿的取模</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kern w:val="0"/>
              </w:rPr>
            </w:pPr>
            <w:r>
              <w:rPr>
                <w:rFonts w:ascii="仿宋_GB2312" w:hAnsi="仿宋_GB2312"/>
                <w:kern w:val="0"/>
              </w:rPr>
              <w:t>无牙颌印模</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口腔仿真实验室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20</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kern w:val="0"/>
              </w:rPr>
            </w:pPr>
            <w:r>
              <w:rPr>
                <w:rFonts w:ascii="仿宋_GB2312" w:hAnsi="宋体"/>
                <w:kern w:val="0"/>
              </w:rPr>
              <w:t>全口义齿的</w:t>
            </w:r>
            <w:r>
              <w:rPr>
                <w:rFonts w:ascii="Times New Roman" w:hAnsi="Times New Roman"/>
                <w:kern w:val="0"/>
              </w:rPr>
              <w:t></w:t>
            </w:r>
            <w:r>
              <w:rPr>
                <w:rFonts w:ascii="仿宋_GB2312" w:hAnsi="宋体"/>
                <w:kern w:val="0"/>
              </w:rPr>
              <w:t>托</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ind w:firstLineChars="100" w:firstLine="180"/>
              <w:rPr>
                <w:rFonts w:ascii="仿宋_GB2312" w:hAnsi="仿宋_GB2312"/>
                <w:kern w:val="0"/>
              </w:rPr>
            </w:pPr>
            <w:r>
              <w:rPr>
                <w:rFonts w:ascii="仿宋_GB2312" w:hAnsi="仿宋_GB2312"/>
                <w:kern w:val="0"/>
                <w:sz w:val="18"/>
                <w:szCs w:val="18"/>
              </w:rPr>
              <w:t>牙</w:t>
            </w:r>
            <w:proofErr w:type="gramStart"/>
            <w:r>
              <w:rPr>
                <w:rFonts w:ascii="仿宋_GB2312" w:hAnsi="仿宋_GB2312"/>
                <w:kern w:val="0"/>
                <w:sz w:val="18"/>
                <w:szCs w:val="18"/>
              </w:rPr>
              <w:t>合</w:t>
            </w:r>
            <w:r>
              <w:rPr>
                <w:rFonts w:ascii="仿宋_GB2312" w:hAnsi="仿宋_GB2312"/>
                <w:kern w:val="0"/>
              </w:rPr>
              <w:t>托形成</w:t>
            </w:r>
            <w:proofErr w:type="gramEnd"/>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lastRenderedPageBreak/>
              <w:t>21</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kern w:val="0"/>
              </w:rPr>
            </w:pPr>
            <w:r>
              <w:rPr>
                <w:rFonts w:ascii="仿宋_GB2312" w:hAnsi="宋体"/>
                <w:kern w:val="0"/>
              </w:rPr>
              <w:t>全口义齿</w:t>
            </w:r>
            <w:proofErr w:type="gramStart"/>
            <w:r>
              <w:rPr>
                <w:rFonts w:ascii="仿宋_GB2312" w:hAnsi="宋体"/>
                <w:kern w:val="0"/>
              </w:rPr>
              <w:t>的颌位记录</w:t>
            </w:r>
            <w:proofErr w:type="gramEnd"/>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kern w:val="0"/>
              </w:rPr>
            </w:pPr>
            <w:proofErr w:type="gramStart"/>
            <w:r>
              <w:rPr>
                <w:rFonts w:ascii="仿宋_GB2312" w:hAnsi="仿宋_GB2312"/>
                <w:kern w:val="0"/>
              </w:rPr>
              <w:t>颌位记录上</w:t>
            </w:r>
            <w:r>
              <w:rPr>
                <w:rFonts w:ascii="仿宋_GB2312" w:hAnsi="仿宋_GB2312"/>
                <w:kern w:val="0"/>
                <w:sz w:val="18"/>
                <w:szCs w:val="18"/>
              </w:rPr>
              <w:t>牙合</w:t>
            </w:r>
            <w:r>
              <w:rPr>
                <w:rFonts w:ascii="仿宋_GB2312" w:hAnsi="仿宋_GB2312"/>
                <w:kern w:val="0"/>
              </w:rPr>
              <w:t>架</w:t>
            </w:r>
            <w:proofErr w:type="gramEnd"/>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22</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kern w:val="0"/>
              </w:rPr>
            </w:pPr>
            <w:r>
              <w:rPr>
                <w:rFonts w:ascii="仿宋_GB2312" w:hAnsi="宋体"/>
                <w:kern w:val="0"/>
              </w:rPr>
              <w:t>义齿前牙区排牙</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kern w:val="0"/>
              </w:rPr>
              <w:t>全口上下前牙区排义齿牙</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23</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kern w:val="0"/>
              </w:rPr>
            </w:pPr>
            <w:r>
              <w:rPr>
                <w:rFonts w:ascii="仿宋_GB2312" w:hAnsi="宋体"/>
                <w:kern w:val="0"/>
              </w:rPr>
              <w:t>义齿后牙区排牙</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kern w:val="0"/>
              </w:rPr>
              <w:t>全口上下后牙区排义齿牙</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24</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kern w:val="0"/>
              </w:rPr>
            </w:pPr>
            <w:r>
              <w:rPr>
                <w:rFonts w:ascii="仿宋_GB2312" w:hAnsi="宋体"/>
                <w:kern w:val="0"/>
              </w:rPr>
              <w:t>全口义齿</w:t>
            </w:r>
            <w:r>
              <w:rPr>
                <w:rFonts w:ascii="Times New Roman" w:hAnsi="Times New Roman"/>
                <w:kern w:val="0"/>
              </w:rPr>
              <w:t></w:t>
            </w:r>
            <w:r>
              <w:rPr>
                <w:rFonts w:ascii="仿宋_GB2312" w:hAnsi="宋体"/>
                <w:kern w:val="0"/>
              </w:rPr>
              <w:t>关系精细调整</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kern w:val="0"/>
              </w:rPr>
              <w:t>全口义齿</w:t>
            </w:r>
            <w:proofErr w:type="gramStart"/>
            <w:r>
              <w:rPr>
                <w:rFonts w:ascii="仿宋_GB2312" w:hAnsi="仿宋_GB2312"/>
                <w:kern w:val="0"/>
              </w:rPr>
              <w:t>所有牙及</w:t>
            </w:r>
            <w:proofErr w:type="gramEnd"/>
            <w:r>
              <w:rPr>
                <w:rFonts w:ascii="Times New Roman" w:hAnsi="Times New Roman"/>
                <w:kern w:val="0"/>
              </w:rPr>
              <w:t></w:t>
            </w:r>
            <w:r>
              <w:rPr>
                <w:rFonts w:ascii="仿宋_GB2312" w:hAnsi="仿宋_GB2312"/>
                <w:kern w:val="0"/>
              </w:rPr>
              <w:t>关系精细调整</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25</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kern w:val="0"/>
              </w:rPr>
            </w:pPr>
            <w:r>
              <w:rPr>
                <w:rFonts w:ascii="仿宋_GB2312" w:hAnsi="宋体"/>
                <w:kern w:val="0"/>
              </w:rPr>
              <w:t>全口义齿蜡型</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kern w:val="0"/>
              </w:rPr>
              <w:t>全口义齿蜡</w:t>
            </w:r>
            <w:proofErr w:type="gramStart"/>
            <w:r>
              <w:rPr>
                <w:rFonts w:ascii="仿宋_GB2312" w:hAnsi="仿宋_GB2312"/>
                <w:kern w:val="0"/>
              </w:rPr>
              <w:t>型形成</w:t>
            </w:r>
            <w:proofErr w:type="gramEnd"/>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26</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宋体"/>
                <w:kern w:val="0"/>
              </w:rPr>
            </w:pPr>
            <w:proofErr w:type="gramStart"/>
            <w:r>
              <w:rPr>
                <w:rFonts w:ascii="仿宋_GB2312" w:hAnsi="宋体"/>
                <w:kern w:val="0"/>
              </w:rPr>
              <w:t>全口义齿充胶</w:t>
            </w:r>
            <w:proofErr w:type="gramEnd"/>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kern w:val="0"/>
              </w:rPr>
            </w:pPr>
            <w:r>
              <w:rPr>
                <w:rFonts w:ascii="仿宋_GB2312" w:hAnsi="仿宋_GB2312"/>
                <w:kern w:val="0"/>
              </w:rPr>
              <w:t>充胶、热处理</w:t>
            </w: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r w:rsidR="00475980" w:rsidTr="001C79F3">
        <w:trPr>
          <w:cantSplit/>
          <w:trHeight w:val="552"/>
          <w:jc w:val="center"/>
        </w:trPr>
        <w:tc>
          <w:tcPr>
            <w:tcW w:w="476" w:type="dxa"/>
            <w:tcBorders>
              <w:top w:val="single" w:sz="4" w:space="0" w:color="auto"/>
              <w:left w:val="single" w:sz="4" w:space="0" w:color="auto"/>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宋体"/>
              </w:rPr>
            </w:pPr>
            <w:r>
              <w:rPr>
                <w:rFonts w:ascii="仿宋_GB2312" w:hAnsi="宋体"/>
              </w:rPr>
              <w:t>27</w:t>
            </w:r>
          </w:p>
        </w:tc>
        <w:tc>
          <w:tcPr>
            <w:tcW w:w="1400"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宋体"/>
                <w:color w:val="000000"/>
                <w:kern w:val="0"/>
              </w:rPr>
            </w:pPr>
            <w:r>
              <w:rPr>
                <w:rFonts w:ascii="仿宋_GB2312" w:hAnsi="宋体"/>
                <w:color w:val="000000"/>
                <w:kern w:val="0"/>
              </w:rPr>
              <w:t>全口义齿的抛光、调</w:t>
            </w:r>
            <w:r>
              <w:rPr>
                <w:rFonts w:ascii="Times New Roman" w:hAnsi="Times New Roman"/>
                <w:color w:val="000000"/>
                <w:kern w:val="0"/>
              </w:rPr>
              <w:t></w:t>
            </w:r>
          </w:p>
        </w:tc>
        <w:tc>
          <w:tcPr>
            <w:tcW w:w="1683"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color w:val="000000"/>
                <w:kern w:val="0"/>
              </w:rPr>
            </w:pPr>
            <w:r>
              <w:rPr>
                <w:rFonts w:ascii="仿宋_GB2312" w:hAnsi="仿宋_GB2312"/>
                <w:color w:val="000000"/>
                <w:kern w:val="0"/>
              </w:rPr>
              <w:t>开盒、打磨、抛光、</w:t>
            </w:r>
            <w:proofErr w:type="gramStart"/>
            <w:r>
              <w:rPr>
                <w:rFonts w:ascii="仿宋_GB2312" w:hAnsi="仿宋_GB2312"/>
                <w:color w:val="000000"/>
                <w:kern w:val="0"/>
              </w:rPr>
              <w:t>就位调</w:t>
            </w:r>
            <w:r>
              <w:rPr>
                <w:rFonts w:ascii="仿宋_GB2312" w:hAnsi="仿宋_GB2312"/>
                <w:color w:val="000000"/>
                <w:kern w:val="0"/>
                <w:sz w:val="18"/>
                <w:szCs w:val="18"/>
              </w:rPr>
              <w:t>牙合</w:t>
            </w:r>
            <w:proofErr w:type="gramEnd"/>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p>
        </w:tc>
        <w:tc>
          <w:tcPr>
            <w:tcW w:w="392" w:type="dxa"/>
            <w:tcBorders>
              <w:top w:val="single" w:sz="4" w:space="0" w:color="auto"/>
              <w:left w:val="nil"/>
              <w:bottom w:val="single" w:sz="4" w:space="0" w:color="auto"/>
              <w:right w:val="single" w:sz="4" w:space="0" w:color="auto"/>
            </w:tcBorders>
            <w:vAlign w:val="center"/>
          </w:tcPr>
          <w:p w:rsidR="00475980" w:rsidRDefault="00475980" w:rsidP="001C79F3">
            <w:pPr>
              <w:adjustRightInd w:val="0"/>
              <w:snapToGrid w:val="0"/>
              <w:spacing w:line="0" w:lineRule="atLeast"/>
              <w:jc w:val="center"/>
              <w:rPr>
                <w:rFonts w:ascii="仿宋_GB2312" w:hAnsi="仿宋_GB2312"/>
              </w:rPr>
            </w:pPr>
            <w:r>
              <w:rPr>
                <w:rFonts w:ascii="仿宋_GB2312" w:hAnsi="仿宋_GB2312"/>
              </w:rPr>
              <w:t>√</w:t>
            </w:r>
          </w:p>
        </w:tc>
        <w:tc>
          <w:tcPr>
            <w:tcW w:w="548" w:type="dxa"/>
            <w:tcBorders>
              <w:top w:val="single" w:sz="4" w:space="0" w:color="auto"/>
              <w:left w:val="nil"/>
              <w:bottom w:val="single" w:sz="4" w:space="0" w:color="auto"/>
              <w:right w:val="single" w:sz="4" w:space="0" w:color="auto"/>
            </w:tcBorders>
            <w:vAlign w:val="center"/>
          </w:tcPr>
          <w:p w:rsidR="00475980" w:rsidRDefault="00475980" w:rsidP="001C79F3">
            <w:pPr>
              <w:jc w:val="center"/>
            </w:pPr>
            <w:r>
              <w:rPr>
                <w:rFonts w:ascii="仿宋_GB2312" w:hAnsi="仿宋_GB2312"/>
              </w:rPr>
              <w:t>1</w:t>
            </w:r>
          </w:p>
        </w:tc>
        <w:tc>
          <w:tcPr>
            <w:tcW w:w="492"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4</w:t>
            </w:r>
          </w:p>
        </w:tc>
        <w:tc>
          <w:tcPr>
            <w:tcW w:w="162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504"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1</w:t>
            </w:r>
            <w:r>
              <w:rPr>
                <w:rFonts w:ascii="仿宋_GB2312" w:hAnsi="仿宋_GB2312"/>
                <w:color w:val="000000"/>
                <w:kern w:val="0"/>
              </w:rPr>
              <w:t>／</w:t>
            </w:r>
            <w:r>
              <w:rPr>
                <w:rFonts w:ascii="仿宋_GB2312" w:hAnsi="仿宋_GB2312"/>
                <w:color w:val="000000"/>
                <w:kern w:val="0"/>
              </w:rPr>
              <w:t>1</w:t>
            </w:r>
          </w:p>
        </w:tc>
        <w:tc>
          <w:tcPr>
            <w:tcW w:w="900" w:type="dxa"/>
            <w:tcBorders>
              <w:top w:val="single" w:sz="4" w:space="0" w:color="auto"/>
              <w:left w:val="nil"/>
              <w:bottom w:val="single" w:sz="4" w:space="0" w:color="auto"/>
              <w:right w:val="single" w:sz="4" w:space="0" w:color="auto"/>
            </w:tcBorders>
            <w:vAlign w:val="center"/>
          </w:tcPr>
          <w:p w:rsidR="00475980" w:rsidRDefault="00475980" w:rsidP="001C79F3">
            <w:pPr>
              <w:autoSpaceDE w:val="0"/>
              <w:autoSpaceDN w:val="0"/>
              <w:adjustRightInd w:val="0"/>
              <w:spacing w:line="0" w:lineRule="atLeast"/>
              <w:jc w:val="center"/>
              <w:rPr>
                <w:rFonts w:ascii="仿宋_GB2312" w:hAnsi="仿宋_GB2312"/>
                <w:color w:val="000000"/>
                <w:kern w:val="0"/>
              </w:rPr>
            </w:pPr>
            <w:r>
              <w:rPr>
                <w:rFonts w:ascii="仿宋_GB2312" w:hAnsi="仿宋_GB2312"/>
                <w:color w:val="000000"/>
                <w:kern w:val="0"/>
              </w:rPr>
              <w:t>参照实验教程</w:t>
            </w:r>
          </w:p>
        </w:tc>
        <w:tc>
          <w:tcPr>
            <w:tcW w:w="1132" w:type="dxa"/>
            <w:tcBorders>
              <w:top w:val="single" w:sz="4" w:space="0" w:color="auto"/>
              <w:left w:val="nil"/>
              <w:bottom w:val="single" w:sz="4" w:space="0" w:color="auto"/>
              <w:right w:val="single" w:sz="4" w:space="0" w:color="auto"/>
            </w:tcBorders>
            <w:vAlign w:val="center"/>
          </w:tcPr>
          <w:p w:rsidR="00475980" w:rsidRDefault="00475980" w:rsidP="001C79F3">
            <w:pPr>
              <w:spacing w:line="0" w:lineRule="atLeast"/>
              <w:jc w:val="center"/>
              <w:rPr>
                <w:rFonts w:ascii="仿宋_GB2312" w:hAnsi="仿宋_GB2312"/>
              </w:rPr>
            </w:pPr>
            <w:r>
              <w:rPr>
                <w:rFonts w:ascii="仿宋_GB2312" w:hAnsi="仿宋_GB2312"/>
                <w:color w:val="000000"/>
                <w:kern w:val="0"/>
              </w:rPr>
              <w:t>口腔理工实验室</w:t>
            </w:r>
          </w:p>
        </w:tc>
      </w:tr>
    </w:tbl>
    <w:p w:rsidR="00475980" w:rsidRDefault="00475980" w:rsidP="00475980">
      <w:pPr>
        <w:autoSpaceDE w:val="0"/>
        <w:autoSpaceDN w:val="0"/>
        <w:adjustRightInd w:val="0"/>
        <w:spacing w:beforeLines="100" w:before="312" w:line="360" w:lineRule="auto"/>
        <w:outlineLvl w:val="1"/>
        <w:rPr>
          <w:color w:val="000000"/>
          <w:kern w:val="0"/>
          <w:sz w:val="24"/>
          <w:szCs w:val="24"/>
        </w:rPr>
      </w:pPr>
      <w:r>
        <w:rPr>
          <w:rFonts w:hint="eastAsia"/>
          <w:color w:val="000000"/>
          <w:kern w:val="0"/>
          <w:sz w:val="24"/>
          <w:szCs w:val="24"/>
        </w:rPr>
        <w:t>七、实验预习和实验报告的要求、考核方法</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1. 实验预习：预习实验教程相关内容。</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2. 报告的要求：完成实验教程思考题。</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3. 考核方式：依据实验报告和实验操作情况。</w:t>
      </w:r>
    </w:p>
    <w:p w:rsidR="00475980" w:rsidRDefault="00475980" w:rsidP="00475980">
      <w:pPr>
        <w:autoSpaceDE w:val="0"/>
        <w:autoSpaceDN w:val="0"/>
        <w:adjustRightInd w:val="0"/>
        <w:rPr>
          <w:sz w:val="24"/>
          <w:szCs w:val="24"/>
        </w:rPr>
      </w:pPr>
      <w:r>
        <w:rPr>
          <w:rFonts w:hint="eastAsia"/>
          <w:sz w:val="24"/>
          <w:szCs w:val="24"/>
        </w:rPr>
        <w:t>八、能力培养与人格养成教育</w:t>
      </w:r>
    </w:p>
    <w:p w:rsidR="00475980" w:rsidRDefault="00475980" w:rsidP="00475980">
      <w:pPr>
        <w:autoSpaceDE w:val="0"/>
        <w:autoSpaceDN w:val="0"/>
        <w:adjustRightInd w:val="0"/>
        <w:spacing w:line="360" w:lineRule="auto"/>
        <w:ind w:firstLine="448"/>
        <w:jc w:val="left"/>
        <w:rPr>
          <w:rFonts w:ascii="宋体" w:hAnsi="宋体"/>
          <w:color w:val="000000"/>
          <w:kern w:val="0"/>
        </w:rPr>
      </w:pPr>
      <w:r>
        <w:rPr>
          <w:rFonts w:ascii="宋体" w:hAnsi="宋体" w:hint="eastAsia"/>
          <w:color w:val="000000"/>
          <w:kern w:val="0"/>
        </w:rPr>
        <w:t>带</w:t>
      </w:r>
      <w:proofErr w:type="gramStart"/>
      <w:r>
        <w:rPr>
          <w:rFonts w:ascii="宋体" w:hAnsi="宋体" w:hint="eastAsia"/>
          <w:color w:val="000000"/>
          <w:kern w:val="0"/>
        </w:rPr>
        <w:t>教老师</w:t>
      </w:r>
      <w:proofErr w:type="gramEnd"/>
      <w:r>
        <w:rPr>
          <w:rFonts w:ascii="宋体" w:hAnsi="宋体" w:hint="eastAsia"/>
          <w:color w:val="000000"/>
          <w:kern w:val="0"/>
        </w:rPr>
        <w:t>以身作则，培养学生具备良好的医德医风和团结协作精神。培养学生系统地掌握口腔修复学基本理论，基本知识和技能，并培养学生具备科学、系统、正确地进行口腔修复专科检查能力，具备口腔修复学常见病及多发病的初步诊断和治疗能力，并能进行有关健康生活方式、口腔疾病预防等方面知识的宣传教育。加强逻辑思维、临床医疗能力的培养，培养主动学习和终身学习的能力。</w:t>
      </w:r>
    </w:p>
    <w:p w:rsidR="00475980" w:rsidRDefault="00475980" w:rsidP="00475980">
      <w:pPr>
        <w:autoSpaceDE w:val="0"/>
        <w:autoSpaceDN w:val="0"/>
        <w:adjustRightInd w:val="0"/>
        <w:spacing w:beforeLines="100" w:before="312" w:line="360" w:lineRule="auto"/>
        <w:outlineLvl w:val="1"/>
        <w:rPr>
          <w:color w:val="000000"/>
          <w:kern w:val="0"/>
          <w:sz w:val="24"/>
          <w:szCs w:val="24"/>
        </w:rPr>
      </w:pPr>
      <w:r>
        <w:rPr>
          <w:rFonts w:hint="eastAsia"/>
          <w:color w:val="000000"/>
          <w:kern w:val="0"/>
          <w:sz w:val="24"/>
          <w:szCs w:val="24"/>
        </w:rPr>
        <w:t>九、前修课程要求</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需掌握医学基础、口腔医学基础、口腔临床医学及应用材料、工艺、材料力学、生物力学、工程技术学以及美学。</w:t>
      </w:r>
    </w:p>
    <w:p w:rsidR="00475980" w:rsidRDefault="00475980" w:rsidP="00475980">
      <w:pPr>
        <w:autoSpaceDE w:val="0"/>
        <w:autoSpaceDN w:val="0"/>
        <w:adjustRightInd w:val="0"/>
        <w:spacing w:beforeLines="100" w:before="312" w:line="360" w:lineRule="auto"/>
        <w:outlineLvl w:val="1"/>
        <w:rPr>
          <w:color w:val="000000"/>
          <w:kern w:val="0"/>
          <w:sz w:val="24"/>
          <w:szCs w:val="24"/>
        </w:rPr>
      </w:pPr>
      <w:r>
        <w:rPr>
          <w:rFonts w:hint="eastAsia"/>
          <w:color w:val="000000"/>
          <w:kern w:val="0"/>
          <w:sz w:val="24"/>
          <w:szCs w:val="24"/>
        </w:rPr>
        <w:t>十、教材与主要参考书</w:t>
      </w:r>
    </w:p>
    <w:p w:rsidR="00475980" w:rsidRDefault="00475980" w:rsidP="00475980">
      <w:pPr>
        <w:autoSpaceDE w:val="0"/>
        <w:autoSpaceDN w:val="0"/>
        <w:adjustRightInd w:val="0"/>
        <w:spacing w:line="360" w:lineRule="auto"/>
        <w:ind w:firstLine="450"/>
        <w:jc w:val="left"/>
        <w:rPr>
          <w:rFonts w:ascii="宋体" w:hAnsi="宋体"/>
          <w:color w:val="000000"/>
          <w:kern w:val="0"/>
        </w:rPr>
      </w:pPr>
      <w:r>
        <w:rPr>
          <w:rFonts w:ascii="宋体" w:hAnsi="宋体" w:hint="eastAsia"/>
          <w:color w:val="000000"/>
          <w:kern w:val="0"/>
        </w:rPr>
        <w:t>1.《口腔修复学》第7版，马轩祥主编，人民卫生出版社，2012年。</w:t>
      </w:r>
    </w:p>
    <w:p w:rsidR="007C4EF6" w:rsidRPr="00475980" w:rsidRDefault="007C4EF6">
      <w:bookmarkStart w:id="0" w:name="_GoBack"/>
      <w:bookmarkEnd w:id="0"/>
    </w:p>
    <w:sectPr w:rsidR="007C4EF6" w:rsidRPr="004759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0"/>
    <w:rsid w:val="00475980"/>
    <w:rsid w:val="007C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5D97B-D874-4447-B084-E814C98A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980"/>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2018-06-29T08:12:00Z</dcterms:created>
  <dcterms:modified xsi:type="dcterms:W3CDTF">2018-06-29T08:12:00Z</dcterms:modified>
</cp:coreProperties>
</file>