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E95" w:rsidRDefault="00CC6E95" w:rsidP="00CC6E95">
      <w:pPr>
        <w:spacing w:afterLines="100" w:after="312"/>
        <w:jc w:val="center"/>
        <w:outlineLvl w:val="0"/>
        <w:rPr>
          <w:sz w:val="32"/>
          <w:szCs w:val="32"/>
        </w:rPr>
      </w:pPr>
      <w:r>
        <w:rPr>
          <w:rFonts w:hint="eastAsia"/>
          <w:sz w:val="32"/>
          <w:szCs w:val="32"/>
        </w:rPr>
        <w:t>《口腔种植学》课程实验教学大纲</w:t>
      </w:r>
    </w:p>
    <w:p w:rsidR="00CC6E95" w:rsidRDefault="00CC6E95" w:rsidP="00CC6E95">
      <w:pPr>
        <w:spacing w:line="360" w:lineRule="auto"/>
        <w:ind w:firstLineChars="300" w:firstLine="630"/>
      </w:pPr>
      <w:r>
        <w:rPr>
          <w:rFonts w:hint="eastAsia"/>
        </w:rPr>
        <w:t>课程编号：</w:t>
      </w:r>
      <w:r>
        <w:rPr>
          <w:rFonts w:hint="eastAsia"/>
        </w:rPr>
        <w:t xml:space="preserve">142017     </w:t>
      </w:r>
      <w:r>
        <w:rPr>
          <w:rFonts w:hint="eastAsia"/>
        </w:rPr>
        <w:t>学分：</w:t>
      </w:r>
      <w:r>
        <w:rPr>
          <w:rFonts w:hint="eastAsia"/>
        </w:rPr>
        <w:t xml:space="preserve">1.0 </w:t>
      </w:r>
      <w:r>
        <w:rPr>
          <w:rFonts w:hint="eastAsia"/>
        </w:rPr>
        <w:t>总学时：</w:t>
      </w:r>
      <w:r>
        <w:rPr>
          <w:rFonts w:hint="eastAsia"/>
        </w:rPr>
        <w:t xml:space="preserve">17     </w:t>
      </w:r>
      <w:r>
        <w:rPr>
          <w:rFonts w:hint="eastAsia"/>
          <w:b/>
          <w:bCs/>
        </w:rPr>
        <w:t>实验学时</w:t>
      </w:r>
      <w:r>
        <w:rPr>
          <w:rFonts w:hint="eastAsia"/>
        </w:rPr>
        <w:t>：</w:t>
      </w:r>
      <w:r>
        <w:rPr>
          <w:rFonts w:hint="eastAsia"/>
        </w:rPr>
        <w:t>4</w:t>
      </w:r>
    </w:p>
    <w:p w:rsidR="00CC6E95" w:rsidRDefault="00CC6E95" w:rsidP="00CC6E95">
      <w:pPr>
        <w:spacing w:line="360" w:lineRule="auto"/>
        <w:ind w:firstLineChars="300" w:firstLine="630"/>
      </w:pPr>
      <w:r>
        <w:rPr>
          <w:rFonts w:hint="eastAsia"/>
        </w:rPr>
        <w:t>大纲执笔人：王方、范震</w:t>
      </w:r>
      <w:r>
        <w:rPr>
          <w:rFonts w:hint="eastAsia"/>
        </w:rPr>
        <w:t xml:space="preserve">      </w:t>
      </w:r>
      <w:r>
        <w:rPr>
          <w:rFonts w:hint="eastAsia"/>
        </w:rPr>
        <w:t>大纲审核人：王佐林</w:t>
      </w:r>
    </w:p>
    <w:p w:rsidR="00CC6E95" w:rsidRDefault="00CC6E95" w:rsidP="00CC6E95">
      <w:pPr>
        <w:pStyle w:val="1"/>
        <w:spacing w:beforeLines="100" w:before="312" w:line="360" w:lineRule="auto"/>
        <w:outlineLvl w:val="1"/>
        <w:rPr>
          <w:rFonts w:ascii="黑体" w:eastAsia="黑体" w:hAnsi="宋体"/>
          <w:sz w:val="24"/>
          <w:szCs w:val="24"/>
        </w:rPr>
      </w:pPr>
      <w:r>
        <w:rPr>
          <w:rFonts w:ascii="黑体" w:eastAsia="黑体" w:hAnsi="黑体" w:hint="eastAsia"/>
          <w:sz w:val="24"/>
          <w:szCs w:val="24"/>
        </w:rPr>
        <w:t>一、课程性质与目的</w:t>
      </w:r>
    </w:p>
    <w:p w:rsidR="00CC6E95" w:rsidRDefault="00CC6E95" w:rsidP="00CC6E95">
      <w:pPr>
        <w:spacing w:line="440" w:lineRule="exact"/>
        <w:ind w:firstLineChars="100" w:firstLine="210"/>
        <w:rPr>
          <w:rFonts w:ascii="宋体" w:hAnsi="宋体"/>
          <w:color w:val="000000"/>
          <w:kern w:val="0"/>
        </w:rPr>
      </w:pPr>
      <w:r>
        <w:rPr>
          <w:rFonts w:ascii="宋体" w:hAnsi="宋体" w:hint="eastAsia"/>
          <w:color w:val="000000"/>
          <w:kern w:val="0"/>
        </w:rPr>
        <w:t>课程性质：考查</w:t>
      </w:r>
    </w:p>
    <w:p w:rsidR="00CC6E95" w:rsidRDefault="00CC6E95" w:rsidP="00CC6E95">
      <w:pPr>
        <w:spacing w:line="440" w:lineRule="exact"/>
        <w:ind w:firstLineChars="100" w:firstLine="210"/>
        <w:rPr>
          <w:rFonts w:ascii="宋体" w:hAnsi="宋体"/>
          <w:color w:val="000000"/>
          <w:kern w:val="0"/>
        </w:rPr>
      </w:pPr>
      <w:r>
        <w:rPr>
          <w:rFonts w:ascii="宋体" w:hAnsi="宋体" w:hint="eastAsia"/>
          <w:color w:val="000000"/>
          <w:kern w:val="0"/>
        </w:rPr>
        <w:t>课程目的：口腔种植学是口腔领域新兴且蓬勃发展的学科，种植义齿日益成为患者修复失牙的重要方法。成功的种植治疗不仅需要娴熟的外科技术，还需要具备良好的修复学知识，解剖生理学知识以及相关的生物力学，材料学，放射诊断学等方面的知识，同时还应了解口腔种植学与牙周病学，口腔正畸学等专业学科之间的关系。本课程的设立，使学生能够系统全面地学习口腔种植学的基本治疗原则，适应症和禁忌症，术前诊断，治疗计划的制定，外科手术方法，修复操作技术以及治疗后的维护和并发症处理。掌握口腔种植学的重要基本概念及基本操作过程，了解口腔种植技术的特点，为今后临床工作打下良好基础。</w:t>
      </w:r>
    </w:p>
    <w:p w:rsidR="00CC6E95" w:rsidRDefault="00CC6E95" w:rsidP="00CC6E95">
      <w:pPr>
        <w:pStyle w:val="1"/>
        <w:spacing w:beforeLines="100" w:before="312" w:line="360" w:lineRule="auto"/>
        <w:outlineLvl w:val="1"/>
        <w:rPr>
          <w:rFonts w:ascii="黑体" w:eastAsia="黑体" w:hAnsi="宋体"/>
          <w:sz w:val="24"/>
          <w:szCs w:val="24"/>
        </w:rPr>
      </w:pPr>
      <w:r>
        <w:rPr>
          <w:rFonts w:ascii="黑体" w:eastAsia="黑体" w:hAnsi="黑体" w:hint="eastAsia"/>
          <w:sz w:val="24"/>
          <w:szCs w:val="24"/>
        </w:rPr>
        <w:t>二、面向专业</w:t>
      </w:r>
    </w:p>
    <w:p w:rsidR="00CC6E95" w:rsidRDefault="00CC6E95" w:rsidP="00CC6E95">
      <w:pPr>
        <w:spacing w:line="440" w:lineRule="exact"/>
        <w:ind w:firstLineChars="100" w:firstLine="240"/>
        <w:rPr>
          <w:rFonts w:ascii="宋体" w:hAnsi="宋体"/>
          <w:color w:val="000000"/>
          <w:kern w:val="0"/>
        </w:rPr>
      </w:pPr>
      <w:r>
        <w:rPr>
          <w:rFonts w:ascii="仿宋_GB2312" w:hAnsi="宋体"/>
          <w:sz w:val="24"/>
          <w:szCs w:val="24"/>
        </w:rPr>
        <w:t xml:space="preserve"> </w:t>
      </w:r>
      <w:r>
        <w:rPr>
          <w:rFonts w:ascii="宋体" w:hAnsi="宋体" w:hint="eastAsia"/>
          <w:color w:val="000000"/>
          <w:kern w:val="0"/>
        </w:rPr>
        <w:t xml:space="preserve"> 口腔医学。</w:t>
      </w:r>
    </w:p>
    <w:p w:rsidR="00CC6E95" w:rsidRDefault="00CC6E95" w:rsidP="00CC6E95">
      <w:pPr>
        <w:pStyle w:val="1"/>
        <w:spacing w:beforeLines="100" w:before="312" w:line="360" w:lineRule="auto"/>
        <w:outlineLvl w:val="1"/>
        <w:rPr>
          <w:rFonts w:ascii="黑体" w:eastAsia="黑体" w:hAnsi="宋体"/>
          <w:sz w:val="24"/>
          <w:szCs w:val="24"/>
        </w:rPr>
      </w:pPr>
      <w:r>
        <w:rPr>
          <w:rFonts w:ascii="黑体" w:eastAsia="黑体" w:hAnsi="黑体" w:hint="eastAsia"/>
          <w:sz w:val="24"/>
          <w:szCs w:val="24"/>
        </w:rPr>
        <w:t>三、课程基本要求</w:t>
      </w:r>
    </w:p>
    <w:p w:rsidR="00CC6E95" w:rsidRDefault="00CC6E95" w:rsidP="00CC6E95">
      <w:pPr>
        <w:spacing w:line="440" w:lineRule="exact"/>
        <w:ind w:firstLineChars="100" w:firstLine="210"/>
        <w:rPr>
          <w:rFonts w:ascii="宋体" w:hAnsi="宋体"/>
          <w:color w:val="000000"/>
          <w:kern w:val="0"/>
        </w:rPr>
      </w:pPr>
      <w:r>
        <w:rPr>
          <w:rFonts w:ascii="宋体" w:hAnsi="宋体" w:hint="eastAsia"/>
          <w:color w:val="000000"/>
          <w:kern w:val="0"/>
        </w:rPr>
        <w:t>通过口腔种植学的学习，使学生能掌握口腔种植学的基本概念、理论及基本设计原则，熟悉种植外科、修复过程，了解种植前后维护及并发症的处理。</w:t>
      </w:r>
    </w:p>
    <w:p w:rsidR="00CC6E95" w:rsidRDefault="00CC6E95" w:rsidP="00CC6E95">
      <w:pPr>
        <w:pStyle w:val="1"/>
        <w:spacing w:beforeLines="100" w:before="312" w:line="360" w:lineRule="auto"/>
        <w:outlineLvl w:val="1"/>
        <w:rPr>
          <w:rFonts w:ascii="黑体" w:eastAsia="黑体" w:hAnsi="宋体"/>
          <w:sz w:val="24"/>
          <w:szCs w:val="24"/>
        </w:rPr>
      </w:pPr>
      <w:r>
        <w:rPr>
          <w:rFonts w:ascii="黑体" w:eastAsia="黑体" w:hAnsi="黑体" w:hint="eastAsia"/>
          <w:sz w:val="24"/>
          <w:szCs w:val="24"/>
        </w:rPr>
        <w:t>四、实验基本要求</w:t>
      </w:r>
    </w:p>
    <w:p w:rsidR="00CC6E95" w:rsidRDefault="00CC6E95" w:rsidP="00CC6E95">
      <w:pPr>
        <w:numPr>
          <w:ilvl w:val="0"/>
          <w:numId w:val="1"/>
        </w:numPr>
        <w:spacing w:line="440" w:lineRule="exact"/>
        <w:rPr>
          <w:rFonts w:ascii="宋体" w:hAnsi="宋体"/>
          <w:color w:val="000000"/>
          <w:kern w:val="0"/>
        </w:rPr>
      </w:pPr>
      <w:r>
        <w:rPr>
          <w:rFonts w:ascii="宋体" w:hAnsi="宋体" w:hint="eastAsia"/>
          <w:color w:val="000000"/>
          <w:kern w:val="0"/>
        </w:rPr>
        <w:t>了解手术操作过程，掌握种植手术的基本设计原则；</w:t>
      </w:r>
    </w:p>
    <w:p w:rsidR="00CC6E95" w:rsidRDefault="00CC6E95" w:rsidP="00CC6E95">
      <w:pPr>
        <w:numPr>
          <w:ilvl w:val="0"/>
          <w:numId w:val="1"/>
        </w:numPr>
        <w:spacing w:line="440" w:lineRule="exact"/>
        <w:rPr>
          <w:rFonts w:ascii="宋体" w:hAnsi="宋体"/>
          <w:color w:val="000000"/>
          <w:kern w:val="0"/>
        </w:rPr>
      </w:pPr>
      <w:r>
        <w:rPr>
          <w:rFonts w:ascii="宋体" w:hAnsi="宋体" w:hint="eastAsia"/>
          <w:color w:val="000000"/>
          <w:kern w:val="0"/>
        </w:rPr>
        <w:t>掌握种植外科手术模板类型及制作方法，熟悉上部修复操作过程。</w:t>
      </w:r>
    </w:p>
    <w:p w:rsidR="00CC6E95" w:rsidRDefault="00CC6E95" w:rsidP="00CC6E95">
      <w:pPr>
        <w:spacing w:beforeLines="100" w:before="312"/>
        <w:outlineLvl w:val="1"/>
        <w:rPr>
          <w:rFonts w:ascii="宋体" w:hAnsi="宋体"/>
          <w:b/>
          <w:bCs/>
        </w:rPr>
      </w:pPr>
      <w:r>
        <w:rPr>
          <w:rFonts w:ascii="宋体" w:hAnsi="宋体" w:hint="eastAsia"/>
          <w:b/>
          <w:bCs/>
        </w:rPr>
        <w:t>五、实验基本内容</w:t>
      </w:r>
    </w:p>
    <w:p w:rsidR="00CC6E95" w:rsidRDefault="00CC6E95" w:rsidP="00CC6E95">
      <w:pPr>
        <w:numPr>
          <w:ilvl w:val="0"/>
          <w:numId w:val="2"/>
        </w:numPr>
        <w:spacing w:line="440" w:lineRule="exact"/>
        <w:rPr>
          <w:rFonts w:ascii="宋体" w:hAnsi="宋体"/>
          <w:color w:val="000000"/>
          <w:kern w:val="0"/>
        </w:rPr>
      </w:pPr>
      <w:r>
        <w:rPr>
          <w:rFonts w:ascii="宋体" w:hAnsi="宋体" w:hint="eastAsia"/>
          <w:color w:val="000000"/>
          <w:kern w:val="0"/>
        </w:rPr>
        <w:t>实验（一）：观看种植手术录像，种植临床病例讨论。（小讲课）</w:t>
      </w:r>
    </w:p>
    <w:p w:rsidR="00CC6E95" w:rsidRDefault="00CC6E95" w:rsidP="00CC6E95">
      <w:pPr>
        <w:numPr>
          <w:ilvl w:val="0"/>
          <w:numId w:val="2"/>
        </w:numPr>
        <w:spacing w:line="440" w:lineRule="exact"/>
        <w:rPr>
          <w:rFonts w:ascii="宋体" w:hAnsi="宋体"/>
          <w:color w:val="000000"/>
          <w:kern w:val="0"/>
        </w:rPr>
      </w:pPr>
      <w:r>
        <w:rPr>
          <w:rFonts w:ascii="宋体" w:hAnsi="宋体" w:hint="eastAsia"/>
          <w:color w:val="000000"/>
          <w:kern w:val="0"/>
        </w:rPr>
        <w:t>实验（二）：模型分析，定位模板制作（示教和操作），上部结构修复技术。（示教）</w:t>
      </w:r>
      <w:r>
        <w:rPr>
          <w:rFonts w:eastAsia="仿宋_GB2312" w:hAnsi="宋体" w:hint="eastAsia"/>
          <w:sz w:val="24"/>
          <w:szCs w:val="24"/>
        </w:rPr>
        <w:t xml:space="preserve"> </w:t>
      </w:r>
    </w:p>
    <w:p w:rsidR="00CC6E95" w:rsidRDefault="00CC6E95" w:rsidP="00CC6E95">
      <w:pPr>
        <w:spacing w:beforeLines="100" w:before="312"/>
        <w:outlineLvl w:val="1"/>
        <w:rPr>
          <w:sz w:val="24"/>
          <w:szCs w:val="24"/>
        </w:rPr>
      </w:pPr>
    </w:p>
    <w:p w:rsidR="00CC6E95" w:rsidRDefault="00CC6E95" w:rsidP="00CC6E95">
      <w:pPr>
        <w:spacing w:beforeLines="100" w:before="312"/>
        <w:outlineLvl w:val="1"/>
        <w:rPr>
          <w:rFonts w:hAnsi="宋体"/>
          <w:sz w:val="24"/>
          <w:szCs w:val="24"/>
        </w:rPr>
      </w:pPr>
      <w:r>
        <w:rPr>
          <w:rFonts w:hint="eastAsia"/>
          <w:sz w:val="24"/>
          <w:szCs w:val="24"/>
        </w:rPr>
        <w:t>六、实验内容和主要仪器设备与器材配置</w:t>
      </w:r>
    </w:p>
    <w:tbl>
      <w:tblPr>
        <w:tblW w:w="9648" w:type="dxa"/>
        <w:tblLayout w:type="fixed"/>
        <w:tblLook w:val="04A0" w:firstRow="1" w:lastRow="0" w:firstColumn="1" w:lastColumn="0" w:noHBand="0" w:noVBand="1"/>
      </w:tblPr>
      <w:tblGrid>
        <w:gridCol w:w="540"/>
        <w:gridCol w:w="1080"/>
        <w:gridCol w:w="2268"/>
        <w:gridCol w:w="540"/>
        <w:gridCol w:w="540"/>
        <w:gridCol w:w="540"/>
        <w:gridCol w:w="540"/>
        <w:gridCol w:w="540"/>
        <w:gridCol w:w="900"/>
        <w:gridCol w:w="720"/>
        <w:gridCol w:w="720"/>
        <w:gridCol w:w="720"/>
      </w:tblGrid>
      <w:tr w:rsidR="00CC6E95" w:rsidTr="001C79F3">
        <w:trPr>
          <w:cantSplit/>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lastRenderedPageBreak/>
              <w:t>序号</w:t>
            </w:r>
          </w:p>
        </w:tc>
        <w:tc>
          <w:tcPr>
            <w:tcW w:w="1080" w:type="dxa"/>
            <w:vMerge w:val="restart"/>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实验项目</w:t>
            </w:r>
          </w:p>
        </w:tc>
        <w:tc>
          <w:tcPr>
            <w:tcW w:w="2268" w:type="dxa"/>
            <w:vMerge w:val="restart"/>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内容提要</w:t>
            </w:r>
          </w:p>
        </w:tc>
        <w:tc>
          <w:tcPr>
            <w:tcW w:w="1620" w:type="dxa"/>
            <w:gridSpan w:val="3"/>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实验类别</w:t>
            </w:r>
          </w:p>
        </w:tc>
        <w:tc>
          <w:tcPr>
            <w:tcW w:w="540" w:type="dxa"/>
            <w:vMerge w:val="restart"/>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每</w:t>
            </w:r>
          </w:p>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组</w:t>
            </w:r>
          </w:p>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人</w:t>
            </w:r>
          </w:p>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数</w:t>
            </w:r>
          </w:p>
        </w:tc>
        <w:tc>
          <w:tcPr>
            <w:tcW w:w="540" w:type="dxa"/>
            <w:vMerge w:val="restart"/>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实验学时</w:t>
            </w:r>
          </w:p>
        </w:tc>
        <w:tc>
          <w:tcPr>
            <w:tcW w:w="900" w:type="dxa"/>
            <w:vMerge w:val="restart"/>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主要仪器设备</w:t>
            </w:r>
          </w:p>
        </w:tc>
        <w:tc>
          <w:tcPr>
            <w:tcW w:w="720" w:type="dxa"/>
            <w:vMerge w:val="restart"/>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设备复套数</w:t>
            </w:r>
          </w:p>
        </w:tc>
        <w:tc>
          <w:tcPr>
            <w:tcW w:w="720" w:type="dxa"/>
            <w:vMerge w:val="restart"/>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主要消耗材料</w:t>
            </w:r>
          </w:p>
        </w:tc>
        <w:tc>
          <w:tcPr>
            <w:tcW w:w="720" w:type="dxa"/>
            <w:vMerge w:val="restart"/>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所在实验室</w:t>
            </w:r>
          </w:p>
        </w:tc>
      </w:tr>
      <w:tr w:rsidR="00CC6E95" w:rsidTr="001C79F3">
        <w:trPr>
          <w:cantSplit/>
          <w:trHeight w:val="433"/>
        </w:trPr>
        <w:tc>
          <w:tcPr>
            <w:tcW w:w="540" w:type="dxa"/>
            <w:vMerge/>
            <w:tcBorders>
              <w:top w:val="single" w:sz="4" w:space="0" w:color="auto"/>
              <w:left w:val="single" w:sz="4" w:space="0" w:color="auto"/>
              <w:bottom w:val="single" w:sz="4" w:space="0" w:color="auto"/>
              <w:right w:val="single" w:sz="4" w:space="0" w:color="auto"/>
            </w:tcBorders>
            <w:vAlign w:val="center"/>
          </w:tcPr>
          <w:p w:rsidR="00CC6E95" w:rsidRDefault="00CC6E95" w:rsidP="001C79F3">
            <w:pPr>
              <w:widowControl/>
              <w:jc w:val="left"/>
              <w:rPr>
                <w:rFonts w:ascii="宋体" w:hAnsi="宋体"/>
                <w:color w:val="000000"/>
                <w:kern w:val="0"/>
              </w:rPr>
            </w:pPr>
          </w:p>
        </w:tc>
        <w:tc>
          <w:tcPr>
            <w:tcW w:w="1080" w:type="dxa"/>
            <w:vMerge/>
            <w:tcBorders>
              <w:top w:val="single" w:sz="4" w:space="0" w:color="auto"/>
              <w:left w:val="nil"/>
              <w:bottom w:val="single" w:sz="4" w:space="0" w:color="auto"/>
              <w:right w:val="single" w:sz="4" w:space="0" w:color="auto"/>
            </w:tcBorders>
            <w:vAlign w:val="center"/>
          </w:tcPr>
          <w:p w:rsidR="00CC6E95" w:rsidRDefault="00CC6E95" w:rsidP="001C79F3">
            <w:pPr>
              <w:widowControl/>
              <w:jc w:val="left"/>
              <w:rPr>
                <w:rFonts w:ascii="宋体" w:hAnsi="宋体"/>
                <w:color w:val="000000"/>
                <w:kern w:val="0"/>
              </w:rPr>
            </w:pPr>
          </w:p>
        </w:tc>
        <w:tc>
          <w:tcPr>
            <w:tcW w:w="2268" w:type="dxa"/>
            <w:vMerge/>
            <w:tcBorders>
              <w:top w:val="single" w:sz="4" w:space="0" w:color="auto"/>
              <w:left w:val="nil"/>
              <w:bottom w:val="single" w:sz="4" w:space="0" w:color="auto"/>
              <w:right w:val="single" w:sz="4" w:space="0" w:color="auto"/>
            </w:tcBorders>
            <w:vAlign w:val="center"/>
          </w:tcPr>
          <w:p w:rsidR="00CC6E95" w:rsidRDefault="00CC6E95" w:rsidP="001C79F3">
            <w:pPr>
              <w:widowControl/>
              <w:jc w:val="left"/>
              <w:rPr>
                <w:rFonts w:ascii="宋体" w:hAns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验证</w:t>
            </w: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综合</w:t>
            </w: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设计</w:t>
            </w:r>
          </w:p>
        </w:tc>
        <w:tc>
          <w:tcPr>
            <w:tcW w:w="540" w:type="dxa"/>
            <w:vMerge/>
            <w:tcBorders>
              <w:top w:val="single" w:sz="4" w:space="0" w:color="auto"/>
              <w:left w:val="nil"/>
              <w:bottom w:val="single" w:sz="4" w:space="0" w:color="auto"/>
              <w:right w:val="single" w:sz="4" w:space="0" w:color="auto"/>
            </w:tcBorders>
            <w:vAlign w:val="center"/>
          </w:tcPr>
          <w:p w:rsidR="00CC6E95" w:rsidRDefault="00CC6E95" w:rsidP="001C79F3">
            <w:pPr>
              <w:widowControl/>
              <w:jc w:val="left"/>
              <w:rPr>
                <w:rFonts w:ascii="宋体" w:hAnsi="宋体"/>
                <w:color w:val="000000"/>
                <w:kern w:val="0"/>
              </w:rPr>
            </w:pPr>
          </w:p>
        </w:tc>
        <w:tc>
          <w:tcPr>
            <w:tcW w:w="540" w:type="dxa"/>
            <w:vMerge/>
            <w:tcBorders>
              <w:top w:val="single" w:sz="4" w:space="0" w:color="auto"/>
              <w:left w:val="nil"/>
              <w:bottom w:val="single" w:sz="4" w:space="0" w:color="auto"/>
              <w:right w:val="single" w:sz="4" w:space="0" w:color="auto"/>
            </w:tcBorders>
            <w:vAlign w:val="center"/>
          </w:tcPr>
          <w:p w:rsidR="00CC6E95" w:rsidRDefault="00CC6E95" w:rsidP="001C79F3">
            <w:pPr>
              <w:widowControl/>
              <w:jc w:val="left"/>
              <w:rPr>
                <w:rFonts w:ascii="宋体" w:hAnsi="宋体"/>
                <w:color w:val="000000"/>
                <w:kern w:val="0"/>
              </w:rPr>
            </w:pPr>
          </w:p>
        </w:tc>
        <w:tc>
          <w:tcPr>
            <w:tcW w:w="900" w:type="dxa"/>
            <w:vMerge/>
            <w:tcBorders>
              <w:top w:val="single" w:sz="4" w:space="0" w:color="auto"/>
              <w:left w:val="nil"/>
              <w:bottom w:val="single" w:sz="4" w:space="0" w:color="auto"/>
              <w:right w:val="single" w:sz="4" w:space="0" w:color="auto"/>
            </w:tcBorders>
            <w:vAlign w:val="center"/>
          </w:tcPr>
          <w:p w:rsidR="00CC6E95" w:rsidRDefault="00CC6E95" w:rsidP="001C79F3">
            <w:pPr>
              <w:widowControl/>
              <w:jc w:val="left"/>
              <w:rPr>
                <w:rFonts w:ascii="宋体" w:hAnsi="宋体"/>
                <w:color w:val="000000"/>
                <w:kern w:val="0"/>
              </w:rPr>
            </w:pPr>
          </w:p>
        </w:tc>
        <w:tc>
          <w:tcPr>
            <w:tcW w:w="720" w:type="dxa"/>
            <w:vMerge/>
            <w:tcBorders>
              <w:top w:val="single" w:sz="4" w:space="0" w:color="auto"/>
              <w:left w:val="nil"/>
              <w:bottom w:val="single" w:sz="4" w:space="0" w:color="auto"/>
              <w:right w:val="single" w:sz="4" w:space="0" w:color="auto"/>
            </w:tcBorders>
            <w:vAlign w:val="center"/>
          </w:tcPr>
          <w:p w:rsidR="00CC6E95" w:rsidRDefault="00CC6E95" w:rsidP="001C79F3">
            <w:pPr>
              <w:widowControl/>
              <w:jc w:val="left"/>
              <w:rPr>
                <w:rFonts w:ascii="宋体" w:hAnsi="宋体"/>
                <w:color w:val="000000"/>
                <w:kern w:val="0"/>
              </w:rPr>
            </w:pPr>
          </w:p>
        </w:tc>
        <w:tc>
          <w:tcPr>
            <w:tcW w:w="720" w:type="dxa"/>
            <w:vMerge/>
            <w:tcBorders>
              <w:top w:val="single" w:sz="4" w:space="0" w:color="auto"/>
              <w:left w:val="nil"/>
              <w:bottom w:val="single" w:sz="4" w:space="0" w:color="auto"/>
              <w:right w:val="single" w:sz="4" w:space="0" w:color="auto"/>
            </w:tcBorders>
            <w:vAlign w:val="center"/>
          </w:tcPr>
          <w:p w:rsidR="00CC6E95" w:rsidRDefault="00CC6E95" w:rsidP="001C79F3">
            <w:pPr>
              <w:widowControl/>
              <w:jc w:val="left"/>
              <w:rPr>
                <w:rFonts w:ascii="宋体" w:hAnsi="宋体"/>
                <w:color w:val="000000"/>
                <w:kern w:val="0"/>
              </w:rPr>
            </w:pPr>
          </w:p>
        </w:tc>
        <w:tc>
          <w:tcPr>
            <w:tcW w:w="720" w:type="dxa"/>
            <w:vMerge/>
            <w:tcBorders>
              <w:top w:val="single" w:sz="4" w:space="0" w:color="auto"/>
              <w:left w:val="nil"/>
              <w:bottom w:val="single" w:sz="4" w:space="0" w:color="auto"/>
              <w:right w:val="single" w:sz="4" w:space="0" w:color="auto"/>
            </w:tcBorders>
            <w:vAlign w:val="center"/>
          </w:tcPr>
          <w:p w:rsidR="00CC6E95" w:rsidRDefault="00CC6E95" w:rsidP="001C79F3">
            <w:pPr>
              <w:widowControl/>
              <w:jc w:val="left"/>
              <w:rPr>
                <w:rFonts w:ascii="宋体" w:hAnsi="宋体"/>
                <w:color w:val="000000"/>
                <w:kern w:val="0"/>
              </w:rPr>
            </w:pPr>
          </w:p>
        </w:tc>
      </w:tr>
      <w:tr w:rsidR="00CC6E95" w:rsidTr="001C79F3">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CC6E95" w:rsidRDefault="00CC6E95" w:rsidP="001C79F3">
            <w:pPr>
              <w:autoSpaceDE w:val="0"/>
              <w:autoSpaceDN w:val="0"/>
              <w:jc w:val="center"/>
              <w:rPr>
                <w:rFonts w:ascii="宋体" w:hAnsi="宋体"/>
                <w:color w:val="000000"/>
                <w:kern w:val="0"/>
              </w:rPr>
            </w:pPr>
            <w:r>
              <w:rPr>
                <w:rFonts w:ascii="宋体" w:hAnsi="宋体"/>
                <w:color w:val="000000"/>
                <w:kern w:val="0"/>
              </w:rPr>
              <w:t>1</w:t>
            </w:r>
          </w:p>
        </w:tc>
        <w:tc>
          <w:tcPr>
            <w:tcW w:w="1080" w:type="dxa"/>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rPr>
                <w:rFonts w:ascii="宋体" w:hAnsi="宋体"/>
                <w:color w:val="000000"/>
                <w:kern w:val="0"/>
              </w:rPr>
            </w:pPr>
            <w:r>
              <w:rPr>
                <w:rFonts w:ascii="宋体" w:hAnsi="宋体" w:hint="eastAsia"/>
                <w:color w:val="000000"/>
                <w:kern w:val="0"/>
              </w:rPr>
              <w:t>PRP/CGF种植牙</w:t>
            </w:r>
          </w:p>
        </w:tc>
        <w:tc>
          <w:tcPr>
            <w:tcW w:w="2268" w:type="dxa"/>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rPr>
                <w:rFonts w:ascii="宋体" w:hAnsi="宋体"/>
                <w:color w:val="000000"/>
                <w:kern w:val="0"/>
              </w:rPr>
            </w:pPr>
            <w:r>
              <w:rPr>
                <w:rFonts w:ascii="宋体" w:hAnsi="宋体" w:hint="eastAsia"/>
                <w:color w:val="000000"/>
                <w:kern w:val="0"/>
              </w:rPr>
              <w:t>PRP/PRF种植牙和即刻种植牙手术教学</w:t>
            </w: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w:t>
            </w: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1</w:t>
            </w: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jc w:val="center"/>
              <w:rPr>
                <w:rFonts w:ascii="宋体" w:hAnsi="宋体"/>
                <w:color w:val="000000"/>
                <w:kern w:val="0"/>
              </w:rPr>
            </w:pPr>
            <w:r>
              <w:rPr>
                <w:rFonts w:ascii="宋体" w:hAnsi="宋体" w:hint="eastAsia"/>
                <w:color w:val="000000"/>
                <w:kern w:val="0"/>
              </w:rPr>
              <w:t>4</w:t>
            </w:r>
          </w:p>
        </w:tc>
        <w:tc>
          <w:tcPr>
            <w:tcW w:w="900" w:type="dxa"/>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rPr>
                <w:rFonts w:ascii="宋体" w:hAnsi="宋体"/>
                <w:color w:val="000000"/>
                <w:kern w:val="0"/>
              </w:rPr>
            </w:pPr>
            <w:r>
              <w:rPr>
                <w:rFonts w:ascii="宋体" w:hAnsi="宋体" w:hint="eastAsia"/>
                <w:color w:val="000000"/>
                <w:kern w:val="0"/>
              </w:rPr>
              <w:t>PRP/CGF种植分离机</w:t>
            </w:r>
          </w:p>
        </w:tc>
        <w:tc>
          <w:tcPr>
            <w:tcW w:w="720" w:type="dxa"/>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rPr>
                <w:rFonts w:ascii="宋体" w:hAnsi="宋体"/>
                <w:color w:val="000000"/>
                <w:kern w:val="0"/>
              </w:rPr>
            </w:pPr>
            <w:r>
              <w:rPr>
                <w:rFonts w:ascii="宋体" w:hAnsi="宋体" w:hint="eastAsia"/>
                <w:color w:val="000000"/>
                <w:kern w:val="0"/>
              </w:rPr>
              <w:t>1</w:t>
            </w:r>
          </w:p>
        </w:tc>
        <w:tc>
          <w:tcPr>
            <w:tcW w:w="720" w:type="dxa"/>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rPr>
                <w:rFonts w:ascii="宋体" w:hAnsi="宋体"/>
                <w:color w:val="000000"/>
                <w:kern w:val="0"/>
              </w:rPr>
            </w:pPr>
            <w:r>
              <w:rPr>
                <w:rFonts w:ascii="宋体" w:hAnsi="宋体" w:hint="eastAsia"/>
                <w:color w:val="000000"/>
                <w:kern w:val="0"/>
              </w:rPr>
              <w:t>种植体，</w:t>
            </w:r>
          </w:p>
        </w:tc>
        <w:tc>
          <w:tcPr>
            <w:tcW w:w="720" w:type="dxa"/>
            <w:tcBorders>
              <w:top w:val="single" w:sz="4" w:space="0" w:color="auto"/>
              <w:left w:val="nil"/>
              <w:bottom w:val="single" w:sz="4" w:space="0" w:color="auto"/>
              <w:right w:val="single" w:sz="4" w:space="0" w:color="auto"/>
            </w:tcBorders>
            <w:vAlign w:val="center"/>
          </w:tcPr>
          <w:p w:rsidR="00CC6E95" w:rsidRDefault="00CC6E95" w:rsidP="001C79F3">
            <w:pPr>
              <w:adjustRightInd w:val="0"/>
              <w:snapToGrid w:val="0"/>
              <w:rPr>
                <w:rFonts w:ascii="宋体" w:hAnsi="宋体"/>
                <w:color w:val="000000"/>
                <w:kern w:val="0"/>
              </w:rPr>
            </w:pPr>
            <w:r>
              <w:rPr>
                <w:rFonts w:ascii="宋体" w:hAnsi="宋体" w:hint="eastAsia"/>
                <w:color w:val="000000"/>
                <w:kern w:val="0"/>
              </w:rPr>
              <w:t>口腔</w:t>
            </w:r>
            <w:proofErr w:type="gramStart"/>
            <w:r>
              <w:rPr>
                <w:rFonts w:ascii="宋体" w:hAnsi="宋体" w:hint="eastAsia"/>
                <w:color w:val="000000"/>
                <w:kern w:val="0"/>
              </w:rPr>
              <w:t>种植科</w:t>
            </w:r>
            <w:proofErr w:type="gramEnd"/>
          </w:p>
        </w:tc>
      </w:tr>
      <w:tr w:rsidR="00CC6E95" w:rsidTr="001C79F3">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CC6E95" w:rsidRDefault="00CC6E95" w:rsidP="001C79F3">
            <w:pPr>
              <w:autoSpaceDE w:val="0"/>
              <w:autoSpaceDN w:val="0"/>
              <w:jc w:val="center"/>
              <w:rPr>
                <w:rFonts w:ascii="宋体" w:hAnsi="宋体"/>
                <w:color w:val="000000"/>
                <w:kern w:val="0"/>
              </w:rPr>
            </w:pPr>
            <w:r>
              <w:rPr>
                <w:rFonts w:ascii="宋体" w:hAnsi="宋体"/>
                <w:color w:val="000000"/>
                <w:kern w:val="0"/>
              </w:rPr>
              <w:t>2</w:t>
            </w:r>
          </w:p>
        </w:tc>
        <w:tc>
          <w:tcPr>
            <w:tcW w:w="108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rPr>
                <w:rFonts w:ascii="宋体" w:hAnsi="宋体"/>
                <w:color w:val="000000"/>
                <w:kern w:val="0"/>
              </w:rPr>
            </w:pPr>
            <w:r>
              <w:rPr>
                <w:rFonts w:ascii="宋体" w:hAnsi="宋体"/>
                <w:color w:val="000000"/>
                <w:kern w:val="0"/>
              </w:rPr>
              <w:t>种植外科手术操作过程</w:t>
            </w:r>
          </w:p>
        </w:tc>
        <w:tc>
          <w:tcPr>
            <w:tcW w:w="2268"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ind w:firstLineChars="200" w:firstLine="420"/>
              <w:rPr>
                <w:rFonts w:ascii="宋体" w:hAnsi="宋体"/>
                <w:color w:val="000000"/>
                <w:kern w:val="0"/>
              </w:rPr>
            </w:pPr>
            <w:r>
              <w:rPr>
                <w:rFonts w:ascii="宋体" w:hAnsi="宋体"/>
                <w:color w:val="000000"/>
                <w:kern w:val="0"/>
              </w:rPr>
              <w:t>种植手术适应症和禁忌症，基本原则，切口设计，种植</w:t>
            </w:r>
            <w:proofErr w:type="gramStart"/>
            <w:r>
              <w:rPr>
                <w:rFonts w:ascii="宋体" w:hAnsi="宋体"/>
                <w:color w:val="000000"/>
                <w:kern w:val="0"/>
              </w:rPr>
              <w:t>窝</w:t>
            </w:r>
            <w:proofErr w:type="gramEnd"/>
            <w:r>
              <w:rPr>
                <w:rFonts w:ascii="宋体" w:hAnsi="宋体"/>
                <w:color w:val="000000"/>
                <w:kern w:val="0"/>
              </w:rPr>
              <w:t>预备，放置植体。</w:t>
            </w: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jc w:val="center"/>
              <w:rPr>
                <w:rFonts w:ascii="宋体" w:hAns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jc w:val="center"/>
              <w:rPr>
                <w:rFonts w:ascii="宋体" w:hAnsi="宋体"/>
                <w:color w:val="000000"/>
                <w:kern w:val="0"/>
              </w:rPr>
            </w:pPr>
            <w:r>
              <w:rPr>
                <w:rFonts w:ascii="宋体" w:hAnsi="宋体"/>
                <w:color w:val="000000"/>
                <w:kern w:val="0"/>
              </w:rPr>
              <w:t>√</w:t>
            </w: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jc w:val="center"/>
              <w:rPr>
                <w:rFonts w:ascii="宋体" w:hAns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jc w:val="center"/>
              <w:rPr>
                <w:rFonts w:ascii="宋体" w:hAnsi="宋体"/>
                <w:color w:val="000000"/>
                <w:kern w:val="0"/>
              </w:rPr>
            </w:pPr>
            <w:r>
              <w:rPr>
                <w:rFonts w:ascii="宋体" w:hAnsi="宋体"/>
                <w:color w:val="000000"/>
                <w:kern w:val="0"/>
              </w:rPr>
              <w:t>1</w:t>
            </w: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jc w:val="center"/>
              <w:rPr>
                <w:rFonts w:ascii="宋体" w:hAnsi="宋体"/>
                <w:color w:val="000000"/>
                <w:kern w:val="0"/>
              </w:rPr>
            </w:pPr>
            <w:r>
              <w:rPr>
                <w:rFonts w:ascii="宋体" w:hAnsi="宋体"/>
                <w:color w:val="000000"/>
                <w:kern w:val="0"/>
              </w:rPr>
              <w:t>2</w:t>
            </w:r>
          </w:p>
        </w:tc>
        <w:tc>
          <w:tcPr>
            <w:tcW w:w="90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rPr>
                <w:rFonts w:ascii="宋体" w:hAnsi="宋体"/>
                <w:color w:val="000000"/>
                <w:kern w:val="0"/>
              </w:rPr>
            </w:pPr>
            <w:r>
              <w:rPr>
                <w:rFonts w:ascii="宋体" w:hAnsi="宋体"/>
                <w:color w:val="000000"/>
                <w:kern w:val="0"/>
              </w:rPr>
              <w:t>多媒体系统</w:t>
            </w:r>
          </w:p>
        </w:tc>
        <w:tc>
          <w:tcPr>
            <w:tcW w:w="72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rPr>
                <w:rFonts w:ascii="宋体" w:hAnsi="宋体"/>
                <w:color w:val="000000"/>
                <w:kern w:val="0"/>
              </w:rPr>
            </w:pPr>
            <w:r>
              <w:rPr>
                <w:rFonts w:ascii="宋体" w:hAnsi="宋体"/>
                <w:color w:val="000000"/>
                <w:kern w:val="0"/>
              </w:rPr>
              <w:t>1/1</w:t>
            </w:r>
          </w:p>
        </w:tc>
        <w:tc>
          <w:tcPr>
            <w:tcW w:w="72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rPr>
                <w:rFonts w:ascii="宋体" w:hAnsi="宋体"/>
                <w:color w:val="000000"/>
                <w:kern w:val="0"/>
              </w:rPr>
            </w:pPr>
            <w:r>
              <w:rPr>
                <w:rFonts w:ascii="宋体" w:hAnsi="宋体"/>
                <w:color w:val="000000"/>
                <w:kern w:val="0"/>
              </w:rPr>
              <w:t>无</w:t>
            </w:r>
          </w:p>
        </w:tc>
        <w:tc>
          <w:tcPr>
            <w:tcW w:w="72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rPr>
                <w:rFonts w:ascii="宋体" w:hAnsi="宋体"/>
                <w:color w:val="000000"/>
                <w:kern w:val="0"/>
              </w:rPr>
            </w:pPr>
            <w:r>
              <w:rPr>
                <w:rFonts w:ascii="宋体" w:hAnsi="宋体"/>
                <w:color w:val="000000"/>
                <w:kern w:val="0"/>
              </w:rPr>
              <w:t>教室</w:t>
            </w:r>
          </w:p>
        </w:tc>
      </w:tr>
      <w:tr w:rsidR="00CC6E95" w:rsidTr="001C79F3">
        <w:trPr>
          <w:cantSplit/>
          <w:trHeight w:val="464"/>
        </w:trPr>
        <w:tc>
          <w:tcPr>
            <w:tcW w:w="540" w:type="dxa"/>
            <w:tcBorders>
              <w:top w:val="single" w:sz="4" w:space="0" w:color="auto"/>
              <w:left w:val="single" w:sz="4" w:space="0" w:color="auto"/>
              <w:bottom w:val="single" w:sz="4" w:space="0" w:color="auto"/>
              <w:right w:val="single" w:sz="4" w:space="0" w:color="auto"/>
            </w:tcBorders>
            <w:vAlign w:val="center"/>
          </w:tcPr>
          <w:p w:rsidR="00CC6E95" w:rsidRDefault="00CC6E95" w:rsidP="001C79F3">
            <w:pPr>
              <w:autoSpaceDE w:val="0"/>
              <w:autoSpaceDN w:val="0"/>
              <w:jc w:val="center"/>
              <w:rPr>
                <w:rFonts w:ascii="宋体" w:hAnsi="宋体"/>
                <w:color w:val="000000"/>
                <w:kern w:val="0"/>
              </w:rPr>
            </w:pPr>
            <w:r>
              <w:rPr>
                <w:rFonts w:ascii="宋体" w:hAnsi="宋体"/>
                <w:color w:val="000000"/>
                <w:kern w:val="0"/>
              </w:rPr>
              <w:t>2</w:t>
            </w:r>
          </w:p>
        </w:tc>
        <w:tc>
          <w:tcPr>
            <w:tcW w:w="108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rPr>
                <w:rFonts w:ascii="宋体" w:hAnsi="宋体"/>
                <w:color w:val="000000"/>
                <w:kern w:val="0"/>
              </w:rPr>
            </w:pPr>
            <w:r>
              <w:rPr>
                <w:rFonts w:ascii="宋体" w:hAnsi="宋体"/>
                <w:color w:val="000000"/>
                <w:kern w:val="0"/>
              </w:rPr>
              <w:t>定位模板制作，上部结构修复</w:t>
            </w:r>
          </w:p>
        </w:tc>
        <w:tc>
          <w:tcPr>
            <w:tcW w:w="2268"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ind w:firstLineChars="200" w:firstLine="420"/>
              <w:rPr>
                <w:rFonts w:ascii="宋体" w:hAnsi="宋体"/>
                <w:color w:val="000000"/>
                <w:kern w:val="0"/>
              </w:rPr>
            </w:pPr>
            <w:r>
              <w:rPr>
                <w:rFonts w:ascii="宋体" w:hAnsi="宋体"/>
                <w:color w:val="000000"/>
                <w:kern w:val="0"/>
              </w:rPr>
              <w:t>模型分析，</w:t>
            </w:r>
            <w:proofErr w:type="gramStart"/>
            <w:r>
              <w:rPr>
                <w:rFonts w:ascii="宋体" w:hAnsi="宋体"/>
                <w:color w:val="000000"/>
                <w:kern w:val="0"/>
              </w:rPr>
              <w:t>植体植入</w:t>
            </w:r>
            <w:proofErr w:type="gramEnd"/>
            <w:r>
              <w:rPr>
                <w:rFonts w:ascii="宋体" w:hAnsi="宋体"/>
                <w:color w:val="000000"/>
                <w:kern w:val="0"/>
              </w:rPr>
              <w:t>位置设计原则，蜡型制作，上部结构修复技术。</w:t>
            </w: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jc w:val="center"/>
              <w:rPr>
                <w:rFonts w:ascii="宋体" w:hAns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jc w:val="center"/>
              <w:rPr>
                <w:rFonts w:ascii="宋体" w:hAnsi="宋体"/>
                <w:color w:val="000000"/>
                <w:kern w:val="0"/>
              </w:rPr>
            </w:pPr>
            <w:r>
              <w:rPr>
                <w:rFonts w:ascii="宋体" w:hAnsi="宋体"/>
                <w:color w:val="000000"/>
                <w:kern w:val="0"/>
              </w:rPr>
              <w:t>√</w:t>
            </w: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jc w:val="center"/>
              <w:rPr>
                <w:rFonts w:ascii="宋体" w:hAns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ind w:firstLineChars="50" w:firstLine="105"/>
              <w:jc w:val="center"/>
              <w:rPr>
                <w:rFonts w:ascii="宋体" w:hAnsi="宋体"/>
                <w:color w:val="000000"/>
                <w:kern w:val="0"/>
              </w:rPr>
            </w:pPr>
            <w:r>
              <w:rPr>
                <w:rFonts w:ascii="宋体" w:hAnsi="宋体"/>
                <w:color w:val="000000"/>
                <w:kern w:val="0"/>
              </w:rPr>
              <w:t>1</w:t>
            </w:r>
          </w:p>
        </w:tc>
        <w:tc>
          <w:tcPr>
            <w:tcW w:w="54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jc w:val="center"/>
              <w:rPr>
                <w:rFonts w:ascii="宋体" w:hAnsi="宋体"/>
                <w:color w:val="000000"/>
                <w:kern w:val="0"/>
              </w:rPr>
            </w:pPr>
            <w:r>
              <w:rPr>
                <w:rFonts w:ascii="宋体" w:hAnsi="宋体"/>
                <w:color w:val="000000"/>
                <w:kern w:val="0"/>
              </w:rPr>
              <w:t>2</w:t>
            </w:r>
          </w:p>
        </w:tc>
        <w:tc>
          <w:tcPr>
            <w:tcW w:w="90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rPr>
                <w:rFonts w:ascii="宋体" w:hAnsi="宋体"/>
                <w:color w:val="000000"/>
                <w:kern w:val="0"/>
              </w:rPr>
            </w:pPr>
            <w:r>
              <w:rPr>
                <w:rFonts w:ascii="宋体" w:hAnsi="宋体"/>
                <w:color w:val="000000"/>
                <w:kern w:val="0"/>
              </w:rPr>
              <w:t>多媒体，种植机，实验用种植体及与外科手术及修复操作相关工具及部件，游标卡尺</w:t>
            </w:r>
          </w:p>
        </w:tc>
        <w:tc>
          <w:tcPr>
            <w:tcW w:w="72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rPr>
                <w:rFonts w:ascii="宋体" w:hAnsi="宋体"/>
                <w:color w:val="000000"/>
                <w:kern w:val="0"/>
              </w:rPr>
            </w:pPr>
            <w:r>
              <w:rPr>
                <w:rFonts w:ascii="宋体" w:hAnsi="宋体"/>
                <w:color w:val="000000"/>
                <w:kern w:val="0"/>
              </w:rPr>
              <w:t>1/1</w:t>
            </w:r>
          </w:p>
        </w:tc>
        <w:tc>
          <w:tcPr>
            <w:tcW w:w="72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rPr>
                <w:rFonts w:ascii="宋体" w:hAnsi="宋体"/>
                <w:color w:val="000000"/>
                <w:kern w:val="0"/>
              </w:rPr>
            </w:pPr>
            <w:r>
              <w:rPr>
                <w:rFonts w:ascii="宋体" w:hAnsi="宋体"/>
                <w:color w:val="000000"/>
                <w:kern w:val="0"/>
              </w:rPr>
              <w:t>牙列缺损标准模型，常用蜡片，藻酸盐印模膏，石膏</w:t>
            </w:r>
          </w:p>
        </w:tc>
        <w:tc>
          <w:tcPr>
            <w:tcW w:w="720" w:type="dxa"/>
            <w:tcBorders>
              <w:top w:val="single" w:sz="4" w:space="0" w:color="auto"/>
              <w:left w:val="nil"/>
              <w:bottom w:val="single" w:sz="4" w:space="0" w:color="auto"/>
              <w:right w:val="single" w:sz="4" w:space="0" w:color="auto"/>
            </w:tcBorders>
            <w:vAlign w:val="center"/>
          </w:tcPr>
          <w:p w:rsidR="00CC6E95" w:rsidRDefault="00CC6E95" w:rsidP="001C79F3">
            <w:pPr>
              <w:autoSpaceDE w:val="0"/>
              <w:autoSpaceDN w:val="0"/>
              <w:rPr>
                <w:rFonts w:ascii="宋体" w:hAnsi="宋体"/>
                <w:color w:val="000000"/>
                <w:kern w:val="0"/>
              </w:rPr>
            </w:pPr>
            <w:r>
              <w:rPr>
                <w:rFonts w:ascii="宋体" w:hAnsi="宋体"/>
                <w:color w:val="000000"/>
                <w:kern w:val="0"/>
              </w:rPr>
              <w:t>仿真实验室</w:t>
            </w:r>
          </w:p>
        </w:tc>
      </w:tr>
    </w:tbl>
    <w:p w:rsidR="00CC6E95" w:rsidRDefault="00CC6E95" w:rsidP="00CC6E95">
      <w:pPr>
        <w:spacing w:beforeLines="100" w:before="312" w:line="360" w:lineRule="auto"/>
        <w:outlineLvl w:val="1"/>
        <w:rPr>
          <w:rFonts w:cs="Courier New"/>
          <w:sz w:val="24"/>
          <w:szCs w:val="24"/>
        </w:rPr>
      </w:pPr>
      <w:r>
        <w:rPr>
          <w:rFonts w:hint="eastAsia"/>
          <w:sz w:val="24"/>
          <w:szCs w:val="24"/>
        </w:rPr>
        <w:t>七、能力培养与人格养成教育</w:t>
      </w:r>
    </w:p>
    <w:p w:rsidR="00CC6E95" w:rsidRDefault="00CC6E95" w:rsidP="00CC6E95">
      <w:pPr>
        <w:spacing w:line="360" w:lineRule="auto"/>
        <w:ind w:firstLineChars="200" w:firstLine="420"/>
        <w:rPr>
          <w:rFonts w:ascii="宋体" w:hAnsi="宋体"/>
          <w:color w:val="000000"/>
          <w:kern w:val="0"/>
        </w:rPr>
      </w:pPr>
      <w:r>
        <w:rPr>
          <w:rFonts w:ascii="宋体" w:hAnsi="宋体" w:hint="eastAsia"/>
          <w:color w:val="000000"/>
          <w:kern w:val="0"/>
        </w:rPr>
        <w:t>具有清晰的思维、表达和写作能力，能独立思考，能与他人交流、合作。身心健康，具有自主学习和终身学习的能力。具有科学、系统、正确地采集全身病史的能力，具有系统规范地进行体格检查和专科检查的能力，具有开展口腔种植学相关领域科学研究的初步能力以及阅读口腔种植学专业外文书刊的能力。</w:t>
      </w:r>
    </w:p>
    <w:p w:rsidR="00CC6E95" w:rsidRDefault="00CC6E95" w:rsidP="00CC6E95">
      <w:pPr>
        <w:spacing w:line="360" w:lineRule="auto"/>
        <w:ind w:firstLineChars="200" w:firstLine="420"/>
        <w:rPr>
          <w:rFonts w:ascii="宋体" w:hAnsi="宋体"/>
          <w:color w:val="000000"/>
          <w:kern w:val="0"/>
        </w:rPr>
      </w:pPr>
      <w:r>
        <w:rPr>
          <w:rFonts w:ascii="宋体" w:hAnsi="宋体" w:hint="eastAsia"/>
          <w:color w:val="000000"/>
          <w:kern w:val="0"/>
        </w:rPr>
        <w:t>树立科学的世界观、人生观和价值观，热爱祖国，热爱口腔医学事业，愿为祖国口腔医学事业的发展和人类身心健康奋斗终身。具有崇高的理想和社会责任感，具有良好的思想道德修养和行为规范，遵纪守法，有良好医德医风，能团结协作。尊重每一个，关爱患者，将预防疾病与驱除病痛作为自己的终身责任，将维护民众的健康利益作为自己的职业责任。具有实事求是的科学态度，有创新意识和分析批判的精神。主力依法行医的法律观念，熟悉国家卫生工作方针、政策和法规，学会用法律保护患者和自身的权益。</w:t>
      </w:r>
    </w:p>
    <w:p w:rsidR="00CC6E95" w:rsidRDefault="00CC6E95" w:rsidP="00CC6E95">
      <w:pPr>
        <w:spacing w:line="360" w:lineRule="auto"/>
        <w:ind w:firstLineChars="200" w:firstLine="420"/>
        <w:rPr>
          <w:rFonts w:ascii="宋体" w:hAnsi="宋体"/>
          <w:color w:val="000000"/>
          <w:kern w:val="0"/>
        </w:rPr>
      </w:pPr>
    </w:p>
    <w:p w:rsidR="00CC6E95" w:rsidRDefault="00CC6E95" w:rsidP="00CC6E95">
      <w:pPr>
        <w:spacing w:beforeLines="100" w:before="312"/>
        <w:outlineLvl w:val="1"/>
        <w:rPr>
          <w:rFonts w:hAnsi="宋体"/>
          <w:sz w:val="24"/>
          <w:szCs w:val="24"/>
        </w:rPr>
      </w:pPr>
      <w:r>
        <w:rPr>
          <w:rFonts w:hint="eastAsia"/>
          <w:sz w:val="24"/>
          <w:szCs w:val="24"/>
        </w:rPr>
        <w:t>八、前修课程要求</w:t>
      </w:r>
    </w:p>
    <w:p w:rsidR="00CC6E95" w:rsidRDefault="00CC6E95" w:rsidP="00CC6E95">
      <w:pPr>
        <w:spacing w:line="360" w:lineRule="auto"/>
        <w:ind w:firstLineChars="200" w:firstLine="420"/>
        <w:rPr>
          <w:rFonts w:ascii="宋体" w:hAnsi="宋体"/>
        </w:rPr>
      </w:pPr>
      <w:r>
        <w:rPr>
          <w:rFonts w:ascii="宋体" w:hAnsi="宋体" w:hint="eastAsia"/>
          <w:color w:val="000000"/>
          <w:kern w:val="0"/>
        </w:rPr>
        <w:lastRenderedPageBreak/>
        <w:t>预习与口腔种植学相关的解剖生理学、生物力学、放射诊断学及口腔修复学知识</w:t>
      </w:r>
      <w:r>
        <w:rPr>
          <w:rFonts w:ascii="宋体" w:hAnsi="宋体" w:hint="eastAsia"/>
        </w:rPr>
        <w:t>。</w:t>
      </w:r>
    </w:p>
    <w:p w:rsidR="00CC6E95" w:rsidRDefault="00CC6E95" w:rsidP="00CC6E95">
      <w:pPr>
        <w:spacing w:beforeLines="100" w:before="312"/>
        <w:outlineLvl w:val="1"/>
        <w:rPr>
          <w:rFonts w:hAnsi="宋体"/>
          <w:sz w:val="24"/>
          <w:szCs w:val="24"/>
        </w:rPr>
      </w:pPr>
      <w:r>
        <w:rPr>
          <w:rFonts w:hint="eastAsia"/>
          <w:sz w:val="24"/>
          <w:szCs w:val="24"/>
        </w:rPr>
        <w:t>九、实验预习和实验报告的要求</w:t>
      </w:r>
    </w:p>
    <w:p w:rsidR="00CC6E95" w:rsidRDefault="00CC6E95" w:rsidP="00CC6E95">
      <w:pPr>
        <w:numPr>
          <w:ilvl w:val="0"/>
          <w:numId w:val="3"/>
        </w:numPr>
        <w:spacing w:line="440" w:lineRule="exact"/>
        <w:rPr>
          <w:rFonts w:ascii="宋体" w:hAnsi="宋体"/>
          <w:color w:val="000000"/>
          <w:kern w:val="0"/>
        </w:rPr>
      </w:pPr>
      <w:r>
        <w:rPr>
          <w:rFonts w:ascii="宋体" w:hAnsi="宋体" w:hint="eastAsia"/>
        </w:rPr>
        <w:t>预</w:t>
      </w:r>
      <w:r>
        <w:rPr>
          <w:rFonts w:ascii="宋体" w:hAnsi="宋体" w:hint="eastAsia"/>
          <w:color w:val="000000"/>
          <w:kern w:val="0"/>
        </w:rPr>
        <w:t>习与口腔种植学相关的解剖生理学、，生物力学、放射诊断学及口腔修复学知识。</w:t>
      </w:r>
    </w:p>
    <w:p w:rsidR="00CC6E95" w:rsidRDefault="00CC6E95" w:rsidP="00CC6E95">
      <w:pPr>
        <w:numPr>
          <w:ilvl w:val="0"/>
          <w:numId w:val="3"/>
        </w:numPr>
        <w:spacing w:line="440" w:lineRule="exact"/>
        <w:rPr>
          <w:rFonts w:ascii="宋体" w:hAnsi="宋体"/>
          <w:color w:val="000000"/>
          <w:kern w:val="0"/>
        </w:rPr>
      </w:pPr>
      <w:r>
        <w:rPr>
          <w:rFonts w:ascii="宋体" w:hAnsi="宋体" w:hint="eastAsia"/>
          <w:color w:val="000000"/>
          <w:kern w:val="0"/>
        </w:rPr>
        <w:t>每位同学根据患者资料完成种植修复计划一份。</w:t>
      </w:r>
    </w:p>
    <w:p w:rsidR="00CC6E95" w:rsidRDefault="00CC6E95" w:rsidP="00CC6E95">
      <w:pPr>
        <w:numPr>
          <w:ilvl w:val="0"/>
          <w:numId w:val="3"/>
        </w:numPr>
        <w:spacing w:line="440" w:lineRule="exact"/>
        <w:rPr>
          <w:rFonts w:ascii="宋体" w:hAnsi="宋体"/>
          <w:color w:val="000000"/>
          <w:kern w:val="0"/>
        </w:rPr>
      </w:pPr>
      <w:r>
        <w:rPr>
          <w:rFonts w:ascii="宋体" w:hAnsi="宋体" w:hint="eastAsia"/>
          <w:color w:val="000000"/>
          <w:kern w:val="0"/>
        </w:rPr>
        <w:t>每位同学完成标准模型的定位模板一副。按规定内容完成实验报告及课后思考题。</w:t>
      </w:r>
    </w:p>
    <w:p w:rsidR="00CC6E95" w:rsidRDefault="00CC6E95" w:rsidP="00CC6E95">
      <w:pPr>
        <w:numPr>
          <w:ilvl w:val="0"/>
          <w:numId w:val="3"/>
        </w:numPr>
        <w:spacing w:line="440" w:lineRule="exact"/>
        <w:rPr>
          <w:rFonts w:ascii="宋体" w:hAnsi="宋体"/>
          <w:color w:val="000000"/>
          <w:kern w:val="0"/>
        </w:rPr>
      </w:pPr>
      <w:r>
        <w:rPr>
          <w:rFonts w:ascii="宋体" w:hAnsi="宋体" w:hint="eastAsia"/>
          <w:color w:val="000000"/>
          <w:kern w:val="0"/>
        </w:rPr>
        <w:t>考核模板制作情况，种植修复计划的合理性、周密性以及课后思考题的完成情况。</w:t>
      </w:r>
    </w:p>
    <w:p w:rsidR="00CC6E95" w:rsidRDefault="00CC6E95" w:rsidP="00CC6E95">
      <w:pPr>
        <w:autoSpaceDE w:val="0"/>
        <w:autoSpaceDN w:val="0"/>
        <w:spacing w:beforeLines="100" w:before="312" w:line="360" w:lineRule="auto"/>
        <w:outlineLvl w:val="1"/>
        <w:rPr>
          <w:rFonts w:ascii="宋体" w:eastAsia="仿宋_GB2312" w:hAnsi="宋体"/>
          <w:kern w:val="0"/>
          <w:sz w:val="20"/>
          <w:szCs w:val="20"/>
        </w:rPr>
      </w:pPr>
      <w:r>
        <w:rPr>
          <w:rFonts w:hint="eastAsia"/>
          <w:sz w:val="24"/>
          <w:szCs w:val="24"/>
        </w:rPr>
        <w:t>十、教材与主要参考书</w:t>
      </w:r>
    </w:p>
    <w:p w:rsidR="00CC6E95" w:rsidRDefault="00CC6E95" w:rsidP="00CC6E95">
      <w:pPr>
        <w:numPr>
          <w:ilvl w:val="0"/>
          <w:numId w:val="4"/>
        </w:numPr>
        <w:spacing w:line="440" w:lineRule="exact"/>
        <w:ind w:firstLine="6"/>
        <w:rPr>
          <w:rFonts w:ascii="宋体" w:hAnsi="宋体"/>
          <w:color w:val="000000"/>
          <w:kern w:val="0"/>
        </w:rPr>
      </w:pPr>
      <w:r>
        <w:rPr>
          <w:rFonts w:ascii="宋体" w:hAnsi="宋体" w:hint="eastAsia"/>
          <w:color w:val="000000"/>
          <w:kern w:val="0"/>
        </w:rPr>
        <w:t>《口腔解剖生理学》第7版（皮昕主编。人民卫生出版社），2015</w:t>
      </w:r>
    </w:p>
    <w:p w:rsidR="00CC6E95" w:rsidRDefault="00CC6E95" w:rsidP="00CC6E95">
      <w:pPr>
        <w:numPr>
          <w:ilvl w:val="0"/>
          <w:numId w:val="4"/>
        </w:numPr>
        <w:spacing w:line="440" w:lineRule="exact"/>
        <w:ind w:firstLine="6"/>
        <w:rPr>
          <w:rFonts w:ascii="宋体" w:hAnsi="宋体"/>
          <w:color w:val="000000"/>
          <w:kern w:val="0"/>
        </w:rPr>
      </w:pPr>
      <w:r>
        <w:rPr>
          <w:rFonts w:ascii="宋体" w:hAnsi="宋体" w:hint="eastAsia"/>
          <w:color w:val="000000"/>
          <w:kern w:val="0"/>
        </w:rPr>
        <w:t>《口腔修复学》第7版（</w:t>
      </w:r>
      <w:proofErr w:type="gramStart"/>
      <w:r>
        <w:rPr>
          <w:rFonts w:ascii="宋体" w:hAnsi="宋体" w:hint="eastAsia"/>
          <w:color w:val="000000"/>
          <w:kern w:val="0"/>
        </w:rPr>
        <w:t>赵铱民主编</w:t>
      </w:r>
      <w:proofErr w:type="gramEnd"/>
      <w:r>
        <w:rPr>
          <w:rFonts w:ascii="宋体" w:hAnsi="宋体" w:hint="eastAsia"/>
          <w:color w:val="000000"/>
          <w:kern w:val="0"/>
        </w:rPr>
        <w:t>。人民卫生出版社）,2012</w:t>
      </w:r>
    </w:p>
    <w:p w:rsidR="00CC6E95" w:rsidRDefault="00CC6E95" w:rsidP="00CC6E95">
      <w:pPr>
        <w:numPr>
          <w:ilvl w:val="0"/>
          <w:numId w:val="4"/>
        </w:numPr>
        <w:spacing w:line="440" w:lineRule="exact"/>
        <w:ind w:firstLine="6"/>
        <w:rPr>
          <w:rFonts w:ascii="宋体" w:hAnsi="宋体"/>
          <w:color w:val="000000"/>
          <w:kern w:val="0"/>
        </w:rPr>
      </w:pPr>
      <w:r>
        <w:rPr>
          <w:rFonts w:ascii="宋体" w:hAnsi="宋体" w:hint="eastAsia"/>
          <w:color w:val="000000"/>
          <w:kern w:val="0"/>
        </w:rPr>
        <w:t>《现代口腔种植学》(宿玉成主编。人民卫生出版社)</w:t>
      </w:r>
    </w:p>
    <w:p w:rsidR="00CC6E95" w:rsidRDefault="00CC6E95" w:rsidP="00CC6E95">
      <w:pPr>
        <w:numPr>
          <w:ilvl w:val="0"/>
          <w:numId w:val="4"/>
        </w:numPr>
        <w:spacing w:line="440" w:lineRule="exact"/>
        <w:ind w:firstLine="6"/>
        <w:rPr>
          <w:rFonts w:ascii="宋体" w:hAnsi="宋体"/>
          <w:color w:val="000000"/>
          <w:kern w:val="0"/>
        </w:rPr>
      </w:pPr>
      <w:r>
        <w:rPr>
          <w:rFonts w:ascii="宋体" w:hAnsi="宋体" w:hint="eastAsia"/>
          <w:color w:val="000000"/>
          <w:kern w:val="0"/>
        </w:rPr>
        <w:t>《口腔外科学》（邱蔚六主编。人民卫生出版社）</w:t>
      </w:r>
    </w:p>
    <w:p w:rsidR="00CC6E95" w:rsidRDefault="00CC6E95" w:rsidP="00CC6E95">
      <w:pPr>
        <w:numPr>
          <w:ilvl w:val="0"/>
          <w:numId w:val="4"/>
        </w:numPr>
        <w:spacing w:line="440" w:lineRule="exact"/>
        <w:ind w:firstLine="6"/>
        <w:rPr>
          <w:rFonts w:ascii="宋体" w:hAnsi="宋体"/>
          <w:color w:val="000000"/>
          <w:kern w:val="0"/>
          <w:lang w:eastAsia="ja-JP"/>
        </w:rPr>
      </w:pPr>
      <w:r>
        <w:rPr>
          <w:rFonts w:ascii="宋体" w:hAnsi="宋体" w:hint="eastAsia"/>
          <w:color w:val="000000"/>
          <w:kern w:val="0"/>
          <w:lang w:eastAsia="ja-JP"/>
        </w:rPr>
        <w:t>《口腔インプラント学》（赤川安正，松浦正郎，矢谷博文，渡边文彦主编）</w:t>
      </w:r>
    </w:p>
    <w:p w:rsidR="00CC6E95" w:rsidRDefault="00CC6E95" w:rsidP="00CC6E95">
      <w:pPr>
        <w:numPr>
          <w:ilvl w:val="0"/>
          <w:numId w:val="4"/>
        </w:numPr>
        <w:spacing w:line="440" w:lineRule="exact"/>
        <w:ind w:firstLine="6"/>
        <w:rPr>
          <w:rFonts w:ascii="宋体" w:hAnsi="宋体"/>
          <w:color w:val="000000"/>
          <w:kern w:val="0"/>
        </w:rPr>
      </w:pPr>
      <w:r>
        <w:rPr>
          <w:rFonts w:ascii="宋体" w:hAnsi="宋体" w:hint="eastAsia"/>
          <w:color w:val="000000"/>
          <w:kern w:val="0"/>
        </w:rPr>
        <w:t>《口腔种植学临床操作指南》（</w:t>
      </w:r>
      <w:proofErr w:type="gramStart"/>
      <w:r>
        <w:rPr>
          <w:rFonts w:ascii="宋体" w:hAnsi="宋体" w:hint="eastAsia"/>
          <w:color w:val="000000"/>
          <w:kern w:val="0"/>
        </w:rPr>
        <w:t>严宁主译</w:t>
      </w:r>
      <w:proofErr w:type="gramEnd"/>
      <w:r>
        <w:rPr>
          <w:rFonts w:ascii="宋体" w:hAnsi="宋体" w:hint="eastAsia"/>
          <w:color w:val="000000"/>
          <w:kern w:val="0"/>
        </w:rPr>
        <w:t>。人民军医出版社）</w:t>
      </w:r>
    </w:p>
    <w:p w:rsidR="007C4EF6" w:rsidRDefault="007C4EF6">
      <w:bookmarkStart w:id="0" w:name="_GoBack"/>
      <w:bookmarkEnd w:id="0"/>
    </w:p>
    <w:sectPr w:rsidR="007C4E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AA330C"/>
    <w:multiLevelType w:val="multilevel"/>
    <w:tmpl w:val="58AA330C"/>
    <w:lvl w:ilvl="0">
      <w:start w:val="1"/>
      <w:numFmt w:val="decimal"/>
      <w:lvlText w:val="%1)"/>
      <w:lvlJc w:val="left"/>
      <w:pPr>
        <w:tabs>
          <w:tab w:val="left" w:pos="900"/>
        </w:tabs>
        <w:ind w:left="900" w:hanging="420"/>
      </w:pPr>
      <w:rPr>
        <w:rFonts w:ascii="Times New Roman" w:hAnsi="Times New Roman" w:cs="Times New Roman" w:hint="default"/>
      </w:rPr>
    </w:lvl>
    <w:lvl w:ilvl="1">
      <w:start w:val="1"/>
      <w:numFmt w:val="lowerLetter"/>
      <w:lvlText w:val="%2)"/>
      <w:lvlJc w:val="left"/>
      <w:pPr>
        <w:tabs>
          <w:tab w:val="left" w:pos="1320"/>
        </w:tabs>
        <w:ind w:left="1320" w:hanging="420"/>
      </w:pPr>
      <w:rPr>
        <w:rFonts w:ascii="Times New Roman" w:hAnsi="Times New Roman" w:cs="Times New Roman" w:hint="default"/>
      </w:rPr>
    </w:lvl>
    <w:lvl w:ilvl="2">
      <w:start w:val="1"/>
      <w:numFmt w:val="lowerRoman"/>
      <w:lvlText w:val="%3."/>
      <w:lvlJc w:val="right"/>
      <w:pPr>
        <w:tabs>
          <w:tab w:val="left" w:pos="1740"/>
        </w:tabs>
        <w:ind w:left="1740" w:hanging="420"/>
      </w:pPr>
      <w:rPr>
        <w:rFonts w:ascii="Times New Roman" w:hAnsi="Times New Roman" w:cs="Times New Roman" w:hint="default"/>
      </w:rPr>
    </w:lvl>
    <w:lvl w:ilvl="3">
      <w:start w:val="1"/>
      <w:numFmt w:val="decimal"/>
      <w:lvlText w:val="%4."/>
      <w:lvlJc w:val="left"/>
      <w:pPr>
        <w:tabs>
          <w:tab w:val="left" w:pos="2160"/>
        </w:tabs>
        <w:ind w:left="2160" w:hanging="420"/>
      </w:pPr>
      <w:rPr>
        <w:rFonts w:ascii="Times New Roman" w:hAnsi="Times New Roman" w:cs="Times New Roman" w:hint="default"/>
      </w:rPr>
    </w:lvl>
    <w:lvl w:ilvl="4">
      <w:start w:val="1"/>
      <w:numFmt w:val="lowerLetter"/>
      <w:lvlText w:val="%5)"/>
      <w:lvlJc w:val="left"/>
      <w:pPr>
        <w:tabs>
          <w:tab w:val="left" w:pos="2580"/>
        </w:tabs>
        <w:ind w:left="2580" w:hanging="420"/>
      </w:pPr>
      <w:rPr>
        <w:rFonts w:ascii="Times New Roman" w:hAnsi="Times New Roman" w:cs="Times New Roman" w:hint="default"/>
      </w:rPr>
    </w:lvl>
    <w:lvl w:ilvl="5">
      <w:start w:val="1"/>
      <w:numFmt w:val="lowerRoman"/>
      <w:lvlText w:val="%6."/>
      <w:lvlJc w:val="right"/>
      <w:pPr>
        <w:tabs>
          <w:tab w:val="left" w:pos="3000"/>
        </w:tabs>
        <w:ind w:left="3000" w:hanging="420"/>
      </w:pPr>
      <w:rPr>
        <w:rFonts w:ascii="Times New Roman" w:hAnsi="Times New Roman" w:cs="Times New Roman" w:hint="default"/>
      </w:rPr>
    </w:lvl>
    <w:lvl w:ilvl="6">
      <w:start w:val="1"/>
      <w:numFmt w:val="decimal"/>
      <w:lvlText w:val="%7."/>
      <w:lvlJc w:val="left"/>
      <w:pPr>
        <w:tabs>
          <w:tab w:val="left" w:pos="3420"/>
        </w:tabs>
        <w:ind w:left="3420" w:hanging="420"/>
      </w:pPr>
      <w:rPr>
        <w:rFonts w:ascii="Times New Roman" w:hAnsi="Times New Roman" w:cs="Times New Roman" w:hint="default"/>
      </w:rPr>
    </w:lvl>
    <w:lvl w:ilvl="7">
      <w:start w:val="1"/>
      <w:numFmt w:val="lowerLetter"/>
      <w:lvlText w:val="%8)"/>
      <w:lvlJc w:val="left"/>
      <w:pPr>
        <w:tabs>
          <w:tab w:val="left" w:pos="3840"/>
        </w:tabs>
        <w:ind w:left="3840" w:hanging="420"/>
      </w:pPr>
      <w:rPr>
        <w:rFonts w:ascii="Times New Roman" w:hAnsi="Times New Roman" w:cs="Times New Roman" w:hint="default"/>
      </w:rPr>
    </w:lvl>
    <w:lvl w:ilvl="8">
      <w:start w:val="1"/>
      <w:numFmt w:val="lowerRoman"/>
      <w:lvlText w:val="%9."/>
      <w:lvlJc w:val="right"/>
      <w:pPr>
        <w:tabs>
          <w:tab w:val="left" w:pos="4260"/>
        </w:tabs>
        <w:ind w:left="4260" w:hanging="420"/>
      </w:pPr>
      <w:rPr>
        <w:rFonts w:ascii="Times New Roman" w:hAnsi="Times New Roman" w:cs="Times New Roman" w:hint="default"/>
      </w:rPr>
    </w:lvl>
  </w:abstractNum>
  <w:abstractNum w:abstractNumId="1" w15:restartNumberingAfterBreak="0">
    <w:nsid w:val="68FC6BA1"/>
    <w:multiLevelType w:val="multilevel"/>
    <w:tmpl w:val="68FC6BA1"/>
    <w:lvl w:ilvl="0">
      <w:start w:val="1"/>
      <w:numFmt w:val="decimal"/>
      <w:lvlText w:val="%1)"/>
      <w:lvlJc w:val="left"/>
      <w:pPr>
        <w:tabs>
          <w:tab w:val="left" w:pos="900"/>
        </w:tabs>
        <w:ind w:left="900" w:hanging="420"/>
      </w:pPr>
      <w:rPr>
        <w:rFonts w:ascii="Times New Roman" w:hAnsi="Times New Roman" w:cs="Times New Roman" w:hint="default"/>
      </w:rPr>
    </w:lvl>
    <w:lvl w:ilvl="1">
      <w:start w:val="1"/>
      <w:numFmt w:val="lowerLetter"/>
      <w:lvlText w:val="%2)"/>
      <w:lvlJc w:val="left"/>
      <w:pPr>
        <w:tabs>
          <w:tab w:val="left" w:pos="1320"/>
        </w:tabs>
        <w:ind w:left="1320" w:hanging="420"/>
      </w:pPr>
      <w:rPr>
        <w:rFonts w:ascii="Times New Roman" w:hAnsi="Times New Roman" w:cs="Times New Roman" w:hint="default"/>
      </w:rPr>
    </w:lvl>
    <w:lvl w:ilvl="2">
      <w:start w:val="1"/>
      <w:numFmt w:val="lowerRoman"/>
      <w:lvlText w:val="%3."/>
      <w:lvlJc w:val="right"/>
      <w:pPr>
        <w:tabs>
          <w:tab w:val="left" w:pos="1740"/>
        </w:tabs>
        <w:ind w:left="1740" w:hanging="420"/>
      </w:pPr>
      <w:rPr>
        <w:rFonts w:ascii="Times New Roman" w:hAnsi="Times New Roman" w:cs="Times New Roman" w:hint="default"/>
      </w:rPr>
    </w:lvl>
    <w:lvl w:ilvl="3">
      <w:start w:val="1"/>
      <w:numFmt w:val="decimal"/>
      <w:lvlText w:val="%4."/>
      <w:lvlJc w:val="left"/>
      <w:pPr>
        <w:tabs>
          <w:tab w:val="left" w:pos="2160"/>
        </w:tabs>
        <w:ind w:left="2160" w:hanging="420"/>
      </w:pPr>
      <w:rPr>
        <w:rFonts w:ascii="Times New Roman" w:hAnsi="Times New Roman" w:cs="Times New Roman" w:hint="default"/>
      </w:rPr>
    </w:lvl>
    <w:lvl w:ilvl="4">
      <w:start w:val="1"/>
      <w:numFmt w:val="lowerLetter"/>
      <w:lvlText w:val="%5)"/>
      <w:lvlJc w:val="left"/>
      <w:pPr>
        <w:tabs>
          <w:tab w:val="left" w:pos="2580"/>
        </w:tabs>
        <w:ind w:left="2580" w:hanging="420"/>
      </w:pPr>
      <w:rPr>
        <w:rFonts w:ascii="Times New Roman" w:hAnsi="Times New Roman" w:cs="Times New Roman" w:hint="default"/>
      </w:rPr>
    </w:lvl>
    <w:lvl w:ilvl="5">
      <w:start w:val="1"/>
      <w:numFmt w:val="lowerRoman"/>
      <w:lvlText w:val="%6."/>
      <w:lvlJc w:val="right"/>
      <w:pPr>
        <w:tabs>
          <w:tab w:val="left" w:pos="3000"/>
        </w:tabs>
        <w:ind w:left="3000" w:hanging="420"/>
      </w:pPr>
      <w:rPr>
        <w:rFonts w:ascii="Times New Roman" w:hAnsi="Times New Roman" w:cs="Times New Roman" w:hint="default"/>
      </w:rPr>
    </w:lvl>
    <w:lvl w:ilvl="6">
      <w:start w:val="1"/>
      <w:numFmt w:val="decimal"/>
      <w:lvlText w:val="%7."/>
      <w:lvlJc w:val="left"/>
      <w:pPr>
        <w:tabs>
          <w:tab w:val="left" w:pos="3420"/>
        </w:tabs>
        <w:ind w:left="3420" w:hanging="420"/>
      </w:pPr>
      <w:rPr>
        <w:rFonts w:ascii="Times New Roman" w:hAnsi="Times New Roman" w:cs="Times New Roman" w:hint="default"/>
      </w:rPr>
    </w:lvl>
    <w:lvl w:ilvl="7">
      <w:start w:val="1"/>
      <w:numFmt w:val="lowerLetter"/>
      <w:lvlText w:val="%8)"/>
      <w:lvlJc w:val="left"/>
      <w:pPr>
        <w:tabs>
          <w:tab w:val="left" w:pos="3840"/>
        </w:tabs>
        <w:ind w:left="3840" w:hanging="420"/>
      </w:pPr>
      <w:rPr>
        <w:rFonts w:ascii="Times New Roman" w:hAnsi="Times New Roman" w:cs="Times New Roman" w:hint="default"/>
      </w:rPr>
    </w:lvl>
    <w:lvl w:ilvl="8">
      <w:start w:val="1"/>
      <w:numFmt w:val="lowerRoman"/>
      <w:lvlText w:val="%9."/>
      <w:lvlJc w:val="right"/>
      <w:pPr>
        <w:tabs>
          <w:tab w:val="left" w:pos="4260"/>
        </w:tabs>
        <w:ind w:left="4260" w:hanging="420"/>
      </w:pPr>
      <w:rPr>
        <w:rFonts w:ascii="Times New Roman" w:hAnsi="Times New Roman" w:cs="Times New Roman" w:hint="default"/>
      </w:rPr>
    </w:lvl>
  </w:abstractNum>
  <w:abstractNum w:abstractNumId="2" w15:restartNumberingAfterBreak="0">
    <w:nsid w:val="6E89497D"/>
    <w:multiLevelType w:val="multilevel"/>
    <w:tmpl w:val="6E89497D"/>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15:restartNumberingAfterBreak="0">
    <w:nsid w:val="726C6A35"/>
    <w:multiLevelType w:val="multilevel"/>
    <w:tmpl w:val="726C6A35"/>
    <w:lvl w:ilvl="0">
      <w:start w:val="1"/>
      <w:numFmt w:val="decimal"/>
      <w:lvlText w:val="%1)"/>
      <w:lvlJc w:val="left"/>
      <w:pPr>
        <w:tabs>
          <w:tab w:val="left" w:pos="900"/>
        </w:tabs>
        <w:ind w:left="900" w:hanging="420"/>
      </w:pPr>
      <w:rPr>
        <w:rFonts w:ascii="Times New Roman" w:hAnsi="Times New Roman" w:cs="Times New Roman" w:hint="default"/>
      </w:rPr>
    </w:lvl>
    <w:lvl w:ilvl="1">
      <w:start w:val="1"/>
      <w:numFmt w:val="lowerLetter"/>
      <w:lvlText w:val="%2)"/>
      <w:lvlJc w:val="left"/>
      <w:pPr>
        <w:tabs>
          <w:tab w:val="left" w:pos="1320"/>
        </w:tabs>
        <w:ind w:left="1320" w:hanging="420"/>
      </w:pPr>
      <w:rPr>
        <w:rFonts w:ascii="Times New Roman" w:hAnsi="Times New Roman" w:cs="Times New Roman" w:hint="default"/>
      </w:rPr>
    </w:lvl>
    <w:lvl w:ilvl="2">
      <w:start w:val="1"/>
      <w:numFmt w:val="lowerRoman"/>
      <w:lvlText w:val="%3."/>
      <w:lvlJc w:val="right"/>
      <w:pPr>
        <w:tabs>
          <w:tab w:val="left" w:pos="1740"/>
        </w:tabs>
        <w:ind w:left="1740" w:hanging="420"/>
      </w:pPr>
      <w:rPr>
        <w:rFonts w:ascii="Times New Roman" w:hAnsi="Times New Roman" w:cs="Times New Roman" w:hint="default"/>
      </w:rPr>
    </w:lvl>
    <w:lvl w:ilvl="3">
      <w:start w:val="1"/>
      <w:numFmt w:val="decimal"/>
      <w:lvlText w:val="%4."/>
      <w:lvlJc w:val="left"/>
      <w:pPr>
        <w:tabs>
          <w:tab w:val="left" w:pos="2160"/>
        </w:tabs>
        <w:ind w:left="2160" w:hanging="420"/>
      </w:pPr>
      <w:rPr>
        <w:rFonts w:ascii="Times New Roman" w:hAnsi="Times New Roman" w:cs="Times New Roman" w:hint="default"/>
      </w:rPr>
    </w:lvl>
    <w:lvl w:ilvl="4">
      <w:start w:val="1"/>
      <w:numFmt w:val="lowerLetter"/>
      <w:lvlText w:val="%5)"/>
      <w:lvlJc w:val="left"/>
      <w:pPr>
        <w:tabs>
          <w:tab w:val="left" w:pos="2580"/>
        </w:tabs>
        <w:ind w:left="2580" w:hanging="420"/>
      </w:pPr>
      <w:rPr>
        <w:rFonts w:ascii="Times New Roman" w:hAnsi="Times New Roman" w:cs="Times New Roman" w:hint="default"/>
      </w:rPr>
    </w:lvl>
    <w:lvl w:ilvl="5">
      <w:start w:val="1"/>
      <w:numFmt w:val="lowerRoman"/>
      <w:lvlText w:val="%6."/>
      <w:lvlJc w:val="right"/>
      <w:pPr>
        <w:tabs>
          <w:tab w:val="left" w:pos="3000"/>
        </w:tabs>
        <w:ind w:left="3000" w:hanging="420"/>
      </w:pPr>
      <w:rPr>
        <w:rFonts w:ascii="Times New Roman" w:hAnsi="Times New Roman" w:cs="Times New Roman" w:hint="default"/>
      </w:rPr>
    </w:lvl>
    <w:lvl w:ilvl="6">
      <w:start w:val="1"/>
      <w:numFmt w:val="decimal"/>
      <w:lvlText w:val="%7."/>
      <w:lvlJc w:val="left"/>
      <w:pPr>
        <w:tabs>
          <w:tab w:val="left" w:pos="3420"/>
        </w:tabs>
        <w:ind w:left="3420" w:hanging="420"/>
      </w:pPr>
      <w:rPr>
        <w:rFonts w:ascii="Times New Roman" w:hAnsi="Times New Roman" w:cs="Times New Roman" w:hint="default"/>
      </w:rPr>
    </w:lvl>
    <w:lvl w:ilvl="7">
      <w:start w:val="1"/>
      <w:numFmt w:val="lowerLetter"/>
      <w:lvlText w:val="%8)"/>
      <w:lvlJc w:val="left"/>
      <w:pPr>
        <w:tabs>
          <w:tab w:val="left" w:pos="3840"/>
        </w:tabs>
        <w:ind w:left="3840" w:hanging="420"/>
      </w:pPr>
      <w:rPr>
        <w:rFonts w:ascii="Times New Roman" w:hAnsi="Times New Roman" w:cs="Times New Roman" w:hint="default"/>
      </w:rPr>
    </w:lvl>
    <w:lvl w:ilvl="8">
      <w:start w:val="1"/>
      <w:numFmt w:val="lowerRoman"/>
      <w:lvlText w:val="%9."/>
      <w:lvlJc w:val="right"/>
      <w:pPr>
        <w:tabs>
          <w:tab w:val="left" w:pos="4260"/>
        </w:tabs>
        <w:ind w:left="426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95"/>
    <w:rsid w:val="007C4EF6"/>
    <w:rsid w:val="00CC6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BF701-C79C-40E1-BBDE-EA0DBCD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E95"/>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qFormat/>
    <w:rsid w:val="00CC6E95"/>
    <w:pPr>
      <w:adjustRightInd w:val="0"/>
      <w:textAlignment w:val="baseline"/>
    </w:pPr>
    <w:rPr>
      <w:rFonts w:ascii="宋体"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2018-06-29T08:13:00Z</dcterms:created>
  <dcterms:modified xsi:type="dcterms:W3CDTF">2018-06-29T08:13:00Z</dcterms:modified>
</cp:coreProperties>
</file>